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中华人民共和国文物保护法实施条例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2003年5月13日国务院第8</w:t>
      </w:r>
      <w:bookmarkStart w:id="0" w:name="_GoBack"/>
      <w:bookmarkEnd w:id="0"/>
      <w:r>
        <w:rPr>
          <w:rFonts w:hint="eastAsia" w:ascii="楷体_GB2312" w:hAnsi="楷体_GB2312" w:eastAsia="楷体_GB2312" w:cs="楷体_GB2312"/>
          <w:sz w:val="32"/>
          <w:szCs w:val="32"/>
        </w:rPr>
        <w:t>次常务会议通过　2003年5月18日中华人民共和国国务院令第377号公布　自2003年7月1日起施行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 xml:space="preserve">第一章　总　　则  </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根据《中华人民共和国文物保护法》(以下简称文物保护法)，制定本实施条例。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国家重点文物保护专项补助经费和地方文物保护专项经费，由县级以上人民政府文物行政主管部门、投资主管部门、财政部门按照国家有关规定共同实施管理。任何单位或者个人不得侵占、挪用。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国有的博物馆、纪念馆、文物保护单位等的事业性收入，应当用于下列用途：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(一)文物的保管、陈列、修复、征集；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(二)国有的博物馆、纪念馆、文物保护单位的修缮和建设；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(三)文物的安全防范；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(四)考古调查、勘探、发掘；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(五)文物保护的科学研究、宣传教育。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文物行政主管部门和教育、科技、新闻出版、广播电视行政主管部门，应当做好文物保护的宣传教育工作。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国务院文物行政主管部门和省、自治区、直辖市人民政府文物行政主管部门，应当制定文物保护的科学技术研究规划，采取有效措施，促进文物保护科技成果的推广和应用，提高文物保护的科学技术水平。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有文物保护法第十二条所列事迹之一的单位或者个人，由人民政府及其文物行政主管部门、有关部门给予精神鼓励或者物质奖励。</w:t>
      </w:r>
    </w:p>
    <w:p>
      <w:pPr>
        <w:pStyle w:val="3"/>
        <w:bidi w:val="0"/>
        <w:rPr>
          <w:szCs w:val="32"/>
        </w:rPr>
      </w:pPr>
      <w:r>
        <w:t>第二章　不可移动文物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历史文化名城，由国务院建设行政主管部门会同国务院文物行政主管部门报国务院核定公布。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历史文化街区、村镇，由省、自治区、直辖市人民政府城乡规划行政主管部门会同文物行政主管部门报本级人民政府核定公布。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县级以上地方人民政府组织编制的历史文化名城和历史文化街区、村镇的保护规划，应当符合文物保护的要求。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全国重点文物保护单位和省级文物保护单位自核定公布之日起1年内，由省、自治区、直辖市人民政府划定必要的保护范围，作出标志说明，建立记录档案，设置专门机构或者指定专人负责管理。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设区的市、自治州级和县级文物保护单位自核定公布之日起1年内，由核定公布该文物保护单位的人民政府划定保护范围，作出标志说明，建立记录档案，设置专门机构或者指定专人负责管理。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文物保护单位的保护范围，是指对文物保护单位本体及周围一定范围实施重点保护的区域。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文物保护单位的保护范围，应当根据文物保护单位的类别、规模、内容以及周围环境的历史和现实情况合理划定，并在文物保护单位本体之外保持一定的安全距离，确保文物保护单位的真实性和完整性。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物保护单位的标志说明，应当包括文物保护单位的级别、名称、公布机关、公布日期、立标机关、立标日期等内容。民族自治地区的文物保护单位的标志说明，应当同时用规范汉字和当地通用的少数民族文字书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文物保护单位的记录档案，应当包括文物保护单位本体记录等科学技术资料和有关文献记载、行政管理等内容。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文物保护单位的记录档案，应当充分利用文字、音像制品、图画、拓片、摹本、电子文本等形式，有效表现其所载内容。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古文化遗址、古墓葬、石窟寺和属于国家所有的纪念建筑物、古建筑，被核定公布为文物保护单位的，由县级以上地方人民政府设置专门机构或者指定机构负责管理。其他文物保护单位，由县级以上地方人民政府设置专门机构或者指定机构、专人负责管理；指定专人负责管理的，可以采取聘请文物保护员的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有使用单位的，使用单位应当设立群众性文物保护组织；没有使用单位的，文物保护单位所在地的村民委员会或者居民委员会可以设立群众性文物保护组织。文物行政主管部门应当对群众性文物保护组织的活动给予指导和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负责管理文物保护单位的机构，应当建立健全规章制度，采取安全防范措施；其安全保卫人员，可以依法配备防卫器械。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文物保护单位的建设控制地带，是指在文物保护单位的保护范围外，为保护文物保护单位的安全、环境、历史风貌对建设项目加以限制的区域。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文物保护单位的建设控制地带，应当根据文物保护单位的类别、规模、内容以及周围环境的历史和现实情况合理划定。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全国重点文物保护单位的建设控制地带，经省、自治区、直辖市人民政府批准，由省、自治区、直辖市人民政府的文物行政主管部门会同城乡规划行政主管部门划定并公布。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省级、设区的市、自治州级和县级文物保护单位的建设控制地带，经省、自治区、直辖市人民政府批准，由核定公布该文物保护单位的人民政府的文物行政主管部门会同城乡规划行政主管部门划定并公布。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承担文物保护单位的修缮、迁移、重建工程的单位，应当同时取得文物行政主管部门发给的相应等级的文物保护工程资质证书和建设行政主管部门发给的相应等级的资质证书。其中，不涉及建筑活动的文物保护单位的修缮、迁移、重建，应当由取得文物行政主管部门发给的相应等级的文物保护工程资质证书的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申领文物保护工程资质证书，应当具备下列条件：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(二)有从事文物保护工程所需的技术设备；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领文物保护工程资质证书，应当向省、自治区、直辖市人民政府文物行政主管部门或者国务院文物行政主管部门提出申请。省、自治区、直辖市人民政府文物行政主管部门或者国务院文物行政主管部门应当自收到申请之日起30个工作日内作出批准或者不批准的决定。决定批准的，发给相应等级的文物保护工程资质证书；决定不批准的，应当书面通知当事人并说明理由。文物保护工程资质等级的分级标准和审批办法，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文物行政主管部门在审批文物保护单位的修缮计划和工程设计方案前，应当征求上一级人民政府文物行政主管部门的意见。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危害全国重点文物保护单位安全或者破坏其历史风貌的建筑物、构筑物，由省、自治区、直辖市人民政府负责调查处理。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危害省级、设区的市、自治州级、县级文物保护单位安全或者破坏其历史风貌的建筑物、构筑物，由核定公布该文物保护单位的人民政府负责调查处理。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危害尚未核定公布为文物保护单位的不可移动文物安全的建筑物、构筑物，由县级人民政府负责调查处理。</w:t>
      </w:r>
    </w:p>
    <w:p>
      <w:pPr>
        <w:pStyle w:val="3"/>
        <w:bidi w:val="0"/>
        <w:rPr>
          <w:szCs w:val="32"/>
        </w:rPr>
      </w:pPr>
      <w:r>
        <w:t>第三章　</w:t>
      </w:r>
      <w:r>
        <w:rPr>
          <w:rFonts w:hint="eastAsia"/>
        </w:rPr>
        <w:t>考古发掘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申请从事考古发掘的单位，取得考古发掘资质证书，应当具备下列条件：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(一)有4名以上取得考古发掘领队资格的人员；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(三)有从事文物安全保卫的专业人员；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(四)有从事考古发掘所需的技术设备；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(五)有保障文物安全的设施和场所；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领考古发掘资质证书，应当向国务院文物行政主管部门提出申请。国务院文物行政主管部门应当自收到申请之日起30个工作日内作出批准或者不批准的决定。决定批准的，发给考古发掘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考古发掘项目实行领队负责制度。担任领队的人员，应当取得国务院文物行政主管部门按照国家有关规定发给的考古发掘领队资格证书。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配合建设工程进行的考古调查、勘探、发掘，由省、自治区、直辖市人民政府文物行政主管部门组织实施。跨省、自治区、直辖市的建设工程范围内的考古调查、勘探、发掘，由建设工程所在地的有关省、自治区、直辖市人民政府文物行政主管部门联合组织实施；其中，特别重要的建设工程范围内的考古调查、勘探、发掘，由国务院文物行政主管部门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建设单位对配合建设工程进行的考古调查、勘探、发掘，应当予以协助，不得妨碍考古调查、勘探、发掘。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国务院文物行政主管部门应当自收到文物保护法第三十条第一款规定的发掘计划之日起30个工作日内作出批准或者不批准决定。决定批准的，发给批准文件；决定不批准的，应当书面通知当事人并说明理由。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文物保护法第三十条第二款规定的抢救性发掘，省、自治区、直辖市人民政府文物行政主管部门应当自开工之日起10个工作日内向国务院文物行政主管部门补办审批手续。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考古调查、勘探、发掘所需经费的范围和标准，按照国家有关规定执行。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从事考古发掘的单位应当在考古发掘完成之日起30个工作日内向省、自治区、直辖市人民政府文物行政主管部门和国务院文物行政主管部门提交结项报告，并于提交结项报告之日起3年内向省、自治区、直辖市人民政府文物行政主管部门和国务院文物行政主管部门提交考古发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考古发掘的单位提交考古发掘报告后，经省、自治区、直辖市人民政府文物行政主管部门或者国务院文物行政主管部门依据各自职权批准，可以保留少量出土文物作为科研标本，并应当于提交发掘报告之日起6个月内将其他出土文物移交给由省、自治区、直辖市人民政府文物行政主管部门或者国务院文物行政主管部门指定的国有的博物馆、图书馆或者其他国有文物收藏单位收藏。</w:t>
      </w:r>
    </w:p>
    <w:p>
      <w:pPr>
        <w:pStyle w:val="3"/>
        <w:bidi w:val="0"/>
        <w:rPr>
          <w:szCs w:val="32"/>
        </w:rPr>
      </w:pPr>
      <w:r>
        <w:t>第四章　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文物收藏单位应当建立馆藏文物的接收、鉴定、登记、编目和档案制度，库房管理制度，出入库、注销和统计制度，保养、修复和复制制度。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人民政府文物行政主管部门应当将本行政区域内的馆藏文物档案，按照行政隶属关系报设区的市、自治州级人民政府文物行政主管部门或者省、自治区、直辖市人民政府文物行政主管部门备案；设区的市、自治州级人民政府文物行政主管部门应当将本行政区域内的馆藏文物档案，报省、自治区、直辖市人民政府文物行政主管部门备案；省、自治区、直辖市人民政府文物行政主管部门应当将本行政区域内的一级文物藏品档案，报国务院文物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文物收藏单位之间借用馆藏文物，借用人应当对借用的馆藏文物采取必要的保护措施，确保文物的安全。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借用的馆藏文物的灭失、损坏风险，除当事人另有约定外，由借用该馆藏文物的文物收藏单位承担。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国有文物收藏单位未依照文物保护法第三十六条的规定建立馆藏文物档案并将馆藏文物档案报主管的文物行政主管部门备案的，不得交换、借用馆藏文物。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修复、复制、拓印馆藏二级文物和馆藏三级文物的，应当报省、自治区、直辖市人民政府文物行政主管部门批准；修复、复制、拓印馆藏一级文物的，应当经省、自治区、直辖市人民政府文物行政主管部门审核后报国务院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从事馆藏文物修复、复制、拓印的单位，应当具备下列条件：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(二)有从事馆藏文物修复、复制、拓印所需的场所和技术设备；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馆藏文物修复、复制、拓印，应当向省、自治区、直辖市人民政府文物行政主管部门提出申请。省、自治区、直辖市人民政府文物行政主管部门应当自收到申请之日起30个工作日内作出批准或者不批准的决定。决定批准的，发给相应等级的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为制作出版物、音像制品等拍摄馆藏二级文物和馆藏三级文物的，应当报省、自治区、直辖市人民政府文物行政主管部门批准；拍摄馆藏一级文物的，应当经省、自治区、直辖市人民政府文物行政主管部门审核后报国务院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馆藏文物被盗、被抢或者丢失的，文物收藏单位应当立即向公安机关报案，并同时向主管的文物行政主管部门报告；主管的文物行政主管部门应当在接到文物收藏单位的报告后24小时内，将有关情况报告国务院文物行政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国家机关和国有的企业、事业组织等收藏、保管国有文物的，应当履行下列义务：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(一)建立文物藏品档案制度，并将文物藏品档案报所在地省、自治区、直辖市人民政府文物行政主管部门备案；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(二)建立、健全文物藏品的保养、修复等管理制度，确保文物安全；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(三)文物藏品被盗、被抢或者丢失的，应当立即向公安机关报案，并同时向所在地省、自治区、直辖市人民政府文物行政主管部门报告。</w:t>
      </w:r>
    </w:p>
    <w:p>
      <w:pPr>
        <w:pStyle w:val="3"/>
        <w:bidi w:val="0"/>
        <w:rPr>
          <w:szCs w:val="32"/>
        </w:rPr>
      </w:pPr>
      <w:r>
        <w:t>第五章　民间收藏文物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文物收藏单位以外的公民、法人和其他组织，可以依法收藏文物，其依法收藏的文物的所有权受法律保护。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公民、法人和其他组织依法收藏文物的，可以要求文物行政主管部门对其收藏的文物提供鉴定、修复、保管等方面的咨询。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设立文物商店，应当具备下列条件：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(一)有200万元人民币以上的注册资本；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(二)有5名以上取得中级以上文物博物专业技术职务的人员；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(三)有保管文物的场所、设施和技术条件；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设立文物商店，应当依照国务院文物行政主管部门的规定向省、自治区、直辖市以上人民政府文物行政主管部门提出申请。省、自治区、直辖市以上人民政府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依法设立的拍卖企业，从事文物拍卖经营活动的，应当有5名以上取得高级文物博物专业技术职务的文物拍卖专业人员，并取得国务院文物行政主管部门发给的文物拍卖许可证。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法设立的拍卖企业申领文物拍卖许可证，应当向国务院文物行政主管部门提出申请。国务院文物行政主管部门应当自收到申请之日起30个工作日内作出批准或者不批准的决定。决定批准的，发给文物拍卖许可证；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文物商店购买、销售文物，经营文物拍卖的拍卖企业拍卖文物，应当记录文物的名称、图录、来源、文物的出卖人、委托人和买受人的姓名或者名称、住所、有效身份证件号码或者有效证照号码以及成交价格，并报核准其销售、拍卖文物的文物行政主管部门备案。接受备案的文物行政主管部门应当依法为其保密，并将该记录保存75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文物行政主管部门应当加强对文物商店和经营文物拍卖的拍卖企业的监督检查。</w:t>
      </w:r>
    </w:p>
    <w:p>
      <w:pPr>
        <w:pStyle w:val="3"/>
        <w:bidi w:val="0"/>
        <w:rPr>
          <w:szCs w:val="32"/>
        </w:rPr>
      </w:pPr>
      <w:r>
        <w:t>第六章　文物出境进境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国务院文物行政主管部门指定的文物进出境审核机构，应当有5名以上专职文物进出境责任鉴定员。专职文物进出境责任鉴定员应当取得中级以上文物博物专业技术职务并经国务院文物行政主管部门考核合格。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运送、邮寄、携带文物出境，应当在文物出境前依法报文物进出境审核机构审核。文物进出境审核机构应当自收到申请之日起15个工作日内作出是否允许出境的决定。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文物进出境审核机构审核文物，应当有3名以上文物博物专业技术人员参加；其中，应当有2名以上文物进出境责任鉴定员。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文物出境审核意见，由文物进出境责任鉴定员共同签署；对经审核，文物进出境责任鉴定员一致同意允许出境的文物，文物进出境审核机构方可作出允许出境的决定。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文物出境审核标准，由国务院文物行政主管部门制定。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文物进出境审核机构应当对所审核进出境文物的名称、质地、尺寸、级别，当事人的姓名或者名称、住所、有效身份证件号码或者有效证照号码，以及进出境口岸、文物去向和审核日期等内容进行登记。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经审核允许出境的文物，由国务院文物行政主管部门发给文物出境许可证，并由文物进出境审核机构标明文物出境标识。经审核允许出境的文物，应当从国务院文物行政主管部门指定的口岸出境。海关查验文物出境标识后，凭文物出境许可证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经审核不允许出境的文物，由文物进出境审核机构发还当事人。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文物出境展览的承办单位，应当在举办展览前6个月向国务院文物行政主管部门提出申请。国务院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一级文物展品超过120件(套)的，或者一级文物展品超过展品总数的20%的，应当报国务院批准。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一级文物中的孤品和易损品，禁止出境展览。禁止出境展览文物的目录，由国务院文物行政主管部门定期公布。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未曾在国内正式展出的文物，不得出境展览。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文物出境展览的期限不得超过1年。因特殊需要，经原审批机关批准可以延期；但是，延期最长不得超过1年。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文物出境展览期间，出现可能危及展览文物安全情形的，原审批机关可以决定中止或者撤销展览。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临时进境的文物，经海关将文物加封后，交由当事人报文物进出境审核机构审核、登记。文物进出境审核机构查验海关封志完好无损后，对每件临时进境文物标明文物临时进境标识，并登记拍照。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临时进境文物复出境时，应当由原审核、登记的文物进出境审核机构核对入境登记拍照记录，查验文物临时进境标识无误后标明文物出境标识，并由国务院文物行政主管部门发给文物出境许可证。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未履行本条第一款规定的手续临时进境的文物复出境的，依照本章关于文物出境的规定办理。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任何单位或者个人不得擅自剥除、更换、挪用或者损毁文物出境标识、文物临时进境标识。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公安机关、工商行政管理、文物、海关、城乡规划、建设等有关部门及其工作人员，违反本条例规定，滥用审批权限、不履行职责或者发现违法行为不予查处的，对负有责任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违反本条例规定，未取得建设行政主管部门发给的相应等级的资质证书，擅自承担含有建筑活动的文物保护单位的修缮、迁移、重建工程的，由建设行政主管部门依照有关法律、行政法规的规定予以处罚。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文物保护法第六十六条第二款规定的罚款，数额为200元以下。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未经批准擅自修复、复制、拓印、拍摄馆藏珍贵文物的，由文物行政主管部门给予警告；造成严重后果的，处2000元以上2万元以下的罚款；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考古发掘单位违反本条例规定，未在规定期限内提交结项报告或者考古发掘报告的，由省、自治区、直辖市人民政府文物行政主管部门或者国务院文物行政主管部门责令限期改正；逾期不改正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考古发掘单位违反本条例规定，未在规定期限内移交文物的，由省、自治区、直辖市人民政府文物行政主管部门或者国务院文物行政主管部门责令限期改正；逾期不改正，或者造成严重后果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违反本条例规定，文物出境展览超过展览期限的，由国务院文物行政主管部门责令限期改正；对负有责任的主管人员和其他直接责任人员依法给予行政处分。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依照文物保护法第六十六条、第七十三条的规定，单位被处以吊销许可证行政处罚的，应当依法到工商行政管理部门办理变更登记或者注销登记；逾期未办理的，由工商行政管理部门吊销营业执照。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违反本条例规定，改变国有的博物馆、纪念馆、文物保护单位等的事业性收入的用途的，对负有责任的主管人员和其他直接责任人员依法给予行政处分；构成犯罪的，依法追究刑事责任。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81</Characters>
  <Lines>69</Lines>
  <Paragraphs>19</Paragraphs>
  <TotalTime>12</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2022-06-02T14:30:54Z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