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中华人民共和国内河交通安全管理条例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2002年6月19日国务院第60次常务会议通过　2002年6月28日中华人民共和国国务院令第355号公布　自2002年8月1日起施行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为了加强内河交通安全管理，维护内河交通秩序，保障人民群众生命、财产安全，制定本条例。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在中华人民共和国内河通航水域从事航行、停泊和作业以及与内河交通安全有关的活动，必须遵守本条例。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内河交通安全管理遵循安全第一、预防为主、方便群众、依法管理的原则，保障内河交通安全、有序、畅通。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国务院交通主管部门主管全国内河交通安全管理工作。国家海事管理机构在国务院交通主管部门的领导下，负责全国内河交通安全监督管理工作。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主管部门在中央管理水域设立的海事管理机构和省、自治区、直辖市人民政府在中央管理水域以外的其他水域设立的海事管理机构(以下统称海事管理机构)依据各自的职责权限，对所辖内河通航水域实施水上交通安全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县级以上地方各级人民政府应当加强本行政区域内的内河交通安全管理工作，建立、健全内河交通安全管理责任制。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乡(镇)人民政府对本行政区域内的内河交通安全管理履行下列职责：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(一)建立、健全行政村和船主的船舶安全责任制；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(二)落实渡口船舶、船员、旅客定额的安全管理责任制；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(三)落实船舶水上交通安全管理的专门人员；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(四)督促船舶所有人、经营人和船员遵守有关内河交通安全的法律、法规和规章。</w:t>
      </w:r>
    </w:p>
    <w:p>
      <w:pPr>
        <w:pStyle w:val="3"/>
        <w:bidi w:val="0"/>
        <w:rPr>
          <w:szCs w:val="32"/>
        </w:rPr>
      </w:pPr>
      <w:r>
        <w:t>第二章　船舶、浮动设施和船员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船舶具备下列条件，方可航行：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(一)经海事管理机构认可的船舶检验机构依法检验并持有合格的船舶检验证书；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(二)经海事管理机构依法登记并持有船舶登记证书；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(三)配备符合国务院交通主管部门规定的船员；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(四)配备必要的航行资料。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浮动设施具备下列条件，方可从事有关活动：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(一)经海事管理机构认可的船舶检验机构依法检验并持有合格的检验证书；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(二)经海事管理机构依法登记并持有登记证书；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(三)配备符合国务院交通主管部门规定的掌握水上交通安全技能的船员。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船舶、浮动设施应当保持适于安全航行、停泊或者从事有关活动的状态。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船舶、浮动设施的配载和系固应当符合国家安全技术规范。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船员经水上交通安全专业培训，其中客船和载运危险货物船舶的船员还应当经相应的特殊培训，并经海事管理机构考试合格，取得相应的适任证书或者其他适任证件，方可担任船员职务。严禁未取得适任证书或者其他适任证件的船员上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船员应当遵守职业道德，提高业务素质，严格依法履行职责。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船舶、浮动设施的所有人或者经营人，应当加强对船舶、浮动设施的安全管理，建立、健全相应的交通安全管理制度，并对船舶、浮动设施的交通安全负责；不得聘用无适任证书或者其他适任证件的人员担任船员；不得指使、强令船员违章操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船舶、浮动设施的所有人或者经营人，应当根据船舶、浮动设施的技术性能、船员状况、水域和水文气象条件，合理调度船舶或者使用浮动设施。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按照国家规定必须取得船舶污染损害责任、沉船打捞责任的保险文书或者财务保证书的船舶，其所有人或者经营人必须取得相应的保险文书或者财务担保证明，并随船携带其副本。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禁止伪造、变造、买卖、租借、冒用船舶检验证书、船舶登记证书、船员适任证书或者其他适任证件。</w:t>
      </w:r>
    </w:p>
    <w:p>
      <w:pPr>
        <w:pStyle w:val="3"/>
        <w:bidi w:val="0"/>
        <w:rPr>
          <w:szCs w:val="32"/>
        </w:rPr>
      </w:pPr>
      <w:r>
        <w:t>第三章　航行、停泊和作业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船舶在内河航行，应当悬挂国旗，标明船名、船籍港、载重线。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按照国家规定应当报废的船舶、浮动设施，不得航行或者作业。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船舶在内河航行，应当保持了望，注意观察，并采用安全航速航行。船舶安全航速应当根据能见度、通航密度、船舶操纵性能和风、浪、水流、航路状况以及周围环境等主要因素决定。使用雷达的船舶，还应当考虑雷达设备的特性、效率和局限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船舶在限制航速的区域和汛期高水位期间，应当按照海事管理机构规定的航速航行。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船舶在内河航行时，上行船舶应当沿缓流或者航路一侧航行，下行船舶应当沿主流或者航路中间航行；在潮流河段、湖泊、水库、平流区域，应当尽可能沿本船右舷一侧航路航行。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船舶在内河航行时，应当谨慎驾驶，保障安全；对来船动态不明、声号不统一或者遇有紧迫情况时，应当减速、停车或者倒车，防止碰撞。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船舶相遇，各方应当注意避让。按照船舶航行规则应当让路的船舶，必须主动避让被让路船舶；被让路船舶应当注意让路船舶的行动，并适时采取措施，协助避让。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船舶避让时，各方避让意图经统一后，任何一方不得擅自改变避让行动。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船舶航行、避让和信号显示的具体规则，由国务院交通主管部门制定。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船舶进出内河港口，应当向海事管理机构办理船舶进出港签证手续。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下列船舶在内河航行，应当向引航机构申请引航：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(一)外国籍船舶；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(二)1000总吨以上的海上机动船舶，但船长驾驶同一类型的海上机动船舶在同一内河通航水域航行与上一航次间隔2个月以内的除外；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(三)通航条件受限制的船舶；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(四)国务院交通主管部门规定应当申请引航的客船、载运危险货物的船舶。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船舶进出港口和通过交通管制区、通航密集区或者航行条件受限制的区域，应当遵守海事管理机构发布的有关通航规定。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任何船舶不得擅自进入或者穿越海事管理机构公布的禁航区。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从事货物或者旅客运输的船舶，必须符合船舶强度、稳性、吃水、消防和救生等安全技术要求和国务院交通主管部门规定的载货或者载客条件。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任何船舶不得超载运输货物或者旅客。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船舶在内河通航水域载运或者拖带超重、超长、超高、超宽、半潜的物体，必须在装船或者拖带前24小时报海事管理机构核定拟航行的航路、时间，并采取必要的安全措施，保障船舶载运或者拖带安全。船舶需要护航的，应当向海事管理机构申请护航。</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遇有下列情形之一时，海事管理机构可以根据情况采取限时航行、单航、封航等临时性限制、疏导交通的措施，并予公告：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(一)恶劣天气；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(二)大范围水上施工作业；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(三)影响航行的水上交通事故；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(四)水上大型群众性活动或者体育比赛；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(五)对航行安全影响较大的其他情形。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船舶应当在码头、泊位或者依法公布的锚地、停泊区、作业区停泊；遇有紧急情况，需要在其他水域停泊的，应当向海事管理机构报告。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船舶停泊，应当按照规定显示信号，不得妨碍或者危及其他船舶航行、停泊或者作业的安全。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船舶停泊，应当留有足以保证船舶安全的船员值班。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在内河通航水域或者岸线上进行下列可能影响通航安全的作业或者活动的，应当在进行作业或者活动前报海事管理机构批准：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(一)勘探、采掘、爆破；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(二)构筑、设置、维修、拆除水上水下构筑物或者设施；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(三)架设桥梁、索道；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(四)铺设、检修、拆除水上水下电缆或者管道；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(五)设置系船浮筒、浮趸、缆桩等设施；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(六)航道建设，航道、码头前沿水域疏浚；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(七)举行大型群众性活动、体育比赛。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进行前款所列作业或者活动，需要进行可行性研究的，在进行可行性研究时应当征求海事管理机构的意见；依照法律、行政法规的规定，需经其他有关部门审批的，还应当依法办理有关审批手续。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海事管理机构审批本条例第二十五条规定的作业或者活动，应当自收到申请之日起30日内作出批准或者不批准的决定，并书面通知申请人。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遇有紧急情况，需要对航道进行修复或者对航道、码头前沿水域进行疏浚的，作业人可以边申请边施工。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航道内不得养殖、种植植物、水生物和设置永久性固定设施。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划定航道，涉及水产养殖区的，航道主管部门应当征求渔业行政主管部门的意见；设置水产养殖区，涉及航道的，渔业行政主管部门应当征求航道主管部门和海事管理机构的意见。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在内河通航水域进行下列可能影响通航安全的作业，应当在进行作业前向海事管理机构备案：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(一)气象观测、测量、地质调查；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(二)航道日常养护；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(三)大面积清除水面垃圾；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(四)可能影响内河通航水域交通安全的其他行为。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进行本条例第二十五条、第二十八条规定的作业或者活动时，应当在作业或者活动区域设置标志和显示信号，并按照海事管理机构的规定，采取相应的安全措施，保障通航安全。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前款作业或者活动完成后，不得遗留任何妨碍航行的物体。</w:t>
      </w:r>
    </w:p>
    <w:p>
      <w:pPr>
        <w:pStyle w:val="3"/>
        <w:bidi w:val="0"/>
        <w:rPr>
          <w:szCs w:val="32"/>
        </w:rPr>
      </w:pPr>
      <w:r>
        <w:t>第四章　危险货物监管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从事危险货物装卸的码头、泊位，必须符合国家有关安全规范要求，并征求海事管理机构的意见，经验收合格后，方可投入使用。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禁止在内河运输法律、行政法规以及国务院交通主管部门规定禁止运输的危险货物。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载运危险货物的船舶，必须持有经海事管理机构认可的船舶检验机构依法检验并颁发的危险货物适装证书，并按照国家有关危险货物运输的规定和安全技术规范进行配载和运输。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船舶装卸、过驳危险货物或者载运危险货物进出港口，应当将危险货物的名称、特性、包装、装卸或者过驳的时间、地点以及进出港时间等事项，事先报告海事管理机构和港口管理机构，经其同意后，方可进行装卸、过驳作业或者进出港口；但是，定船、定线、定货的船舶可以定期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载运危险货物的船舶，在航行、装卸或者停泊时，应当按照规定显示信号；其他船舶应当避让。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从事危险货物装卸的码头、泊位和载运危险货物的船舶，必须编制危险货物事故应急预案，并配备相应的应急救援设备和器材。</w:t>
      </w:r>
    </w:p>
    <w:p>
      <w:pPr>
        <w:pStyle w:val="3"/>
        <w:bidi w:val="0"/>
        <w:rPr>
          <w:szCs w:val="32"/>
        </w:rPr>
      </w:pPr>
      <w:r>
        <w:t>第五章　渡口管理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设置或者撤销渡口，应当经渡口所在地的县级人民政府审批；县级人民政府审批前，应当征求当地海事管理机构的意见。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渡口的设置应当具备下列条件：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(一)选址应当在水流平缓、水深足够、坡岸稳定、视野开阔、适宜船舶停靠的地点，并远离危险物品生产、堆放场所；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(二)具备货物装卸、旅客上下的安全设施；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(三)配备必要的救生设备和专门管理人员。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渡口经营者应当在渡口设置明显的标志，维护渡运秩序，保障渡运安全。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渡口所在地县级人民政府应当建立、健全渡口安全管理责任制，指定有关部门负责对渡口和渡运安全实施监督检查。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渡口工作人员应当经培训、考试合格，并取得渡口所在地县级人民政府指定的部门颁发的合格证书。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渡口船舶应当持有合格的船舶检验证书和船舶登记证书。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渡口载客船舶应当有符合国家规定的识别标志，并在明显位置标明载客定额、安全注意事项。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渡口船舶应当按照渡口所在地的县级人民政府核定的路线渡运，并不得超载；渡运时，应当注意避让过往船舶，不得抢航或者强行横越。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遇有洪水或者大风、大雾、大雪等恶劣天气，渡口应当停止渡运。</w:t>
      </w:r>
    </w:p>
    <w:p>
      <w:pPr>
        <w:pStyle w:val="3"/>
        <w:bidi w:val="0"/>
        <w:rPr>
          <w:szCs w:val="32"/>
        </w:rPr>
      </w:pPr>
      <w:r>
        <w:t>第六章　通航保障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内河通航水域的航道、航标和其他标志的规划、建设、设置、维护，应当符合国家规定的通航安全要求。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内河航道发生变迁，水深、宽度发生变化，或者航标发生位移、损坏、灭失，影响通航安全的，航道、航标主管部门必须及时采取措施，使航道、航标保持正常状态。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内河通航水域内可能影响航行安全的沉没物、漂流物、搁浅物，其所有人和经营人，必须按照国家有关规定设置标志，向海事管理机构报告，并在海事管理机构限定的时间内打捞清除；没有所有人或者经营人的，由海事管理机构打捞清除或者采取其他相应措施，保障通航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在内河通航水域中拖放竹、木等物体，应当在拖放前24小时报经海事管理机构同意，按照核定的时间、路线拖放，并采取必要的安全措施，保障拖放安全。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任何单位和个人发现下列情况，应当迅速向海事管理机构报告：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(一)航道变迁，航道水深、宽度发生变化；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(二)妨碍通航安全的物体；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(三)航标发生位移、损坏、灭失；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(四)妨碍通航安全的其他情况。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海事管理机构接到报告后，应当根据情况发布航行通告或者航行警告，并通知航道、航标主管部门。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海事管理机构划定或者调整禁航区、交通管制区、港区外锚地、停泊区和安全作业区，以及对进行本条例第二十五条、第二十八条规定的作业或者活动，需要发布航行通告、航行警告的，应当及时发布。</w:t>
      </w:r>
    </w:p>
    <w:p>
      <w:pPr>
        <w:pStyle w:val="3"/>
        <w:bidi w:val="0"/>
        <w:rPr>
          <w:szCs w:val="32"/>
        </w:rPr>
      </w:pPr>
      <w:r>
        <w:t>第七章　救　　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船舶、浮动设施遇险，应当采取一切有效措施进行自救。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船舶、浮动设施发生碰撞等事故，任何一方应当在不危及自身安全的情况下，积极救助遇险的他方，不得逃逸。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船舶、浮动设施遇险，必须迅速将遇险的时间、地点、遇险状况、遇险原因、救助要求，向遇险地海事管理机构以及船舶、浮动设施所有人、经营人报告。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船员、浮</w:t>
      </w:r>
      <w:r>
        <w:rPr>
          <w:rFonts w:hint="eastAsia" w:ascii="仿宋_GB2312" w:hAnsi="仿宋_GB2312" w:eastAsia="仿宋_GB2312" w:cs="仿宋_GB2312"/>
          <w:spacing w:val="6"/>
          <w:sz w:val="32"/>
          <w:szCs w:val="32"/>
        </w:rPr>
        <w:t>动设施上的工作人员或者其他人员发现其他船舶、浮动设施遇险，或者收到求救信号后，必须尽力救助遇险人员，并将有关情况及时向遇险地海事管理机构报告</w:t>
      </w:r>
      <w:r>
        <w:rPr>
          <w:rFonts w:hint="eastAsia" w:ascii="仿宋_GB2312" w:hAnsi="仿宋_GB2312" w:eastAsia="仿宋_GB2312" w:cs="仿宋_GB2312"/>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海事管理机构收到船舶、浮动设施遇险求救信号或者报告后，必须立即组织力量救助遇险人员，同时向遇险地县级以上地方人民政府和上级海事管理机构报告。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遇险地县级以上地方人民政府收到海事管理机构的报告后，应当对救助工作进行领导和协调，动员各方力量积极参与救助。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船舶、浮动设施遇险时，有关部门和人员必须积极协助海事管理机构做好救助工作。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遇险现场和附近的船舶、人员，必须服从海事管理机构的统一调度和指挥。</w:t>
      </w:r>
    </w:p>
    <w:p>
      <w:pPr>
        <w:pStyle w:val="3"/>
        <w:bidi w:val="0"/>
        <w:rPr>
          <w:szCs w:val="32"/>
        </w:rPr>
      </w:pPr>
      <w:r>
        <w:t>第八章　事故调查处理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船舶、浮动设施发生交通事故，其所有人或者经营人必须立即向交通事故发生地海事管理机构报告，并做好现场保护工作。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海事管理机构接到内河交通事故报告后，必须立即派员前往现场，进行调查和取证。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海事管理机构进行内河交通事故调查和取证，应当全面、客观、公正。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接受海事管理机构调查、取证的有关人员，应当如实提供有关情况和证据，不得谎报或者隐匿、毁灭证据。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海事管理机构应当在内河交通事故调查、取证结束后30日内，依据调查事实和证据作出调查结论，并书面告知内河交通事故当事人。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海事管理机构在调查处理内河交通事故过程中，应当采取有效措施，保证航路畅通，防止发生其他事故。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地方人民政府应当依照国家有关规定积极做好内河交通事故的善后工作。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特大内河交通事故的报告、调查和处理，按照国务院有关规定执行。</w:t>
      </w:r>
    </w:p>
    <w:p>
      <w:pPr>
        <w:pStyle w:val="3"/>
        <w:bidi w:val="0"/>
        <w:rPr>
          <w:szCs w:val="32"/>
        </w:rPr>
      </w:pPr>
      <w:r>
        <w:t>第九章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在旅游、交通运输繁忙的湖泊、水库，在气候恶劣的季节，在法定或者传统节日、重大集会、集市、农忙、学生放学放假等交通高峰期间，县级以上地方各级人民政府应当加强对维护内河交通安全的组织、协调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海事管理机构必须建立、健全内河交通安全监督检查制度，并组织落实。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海事管理机构必须依法履行职责，加强对船舶、浮动设施、船员和通航安全环境的监督检查。发现内河交通安全隐患时，应当责令有关单位和个人立即消除或者限期消除；有关单位和个人不立即消除或者逾期不消除的，海事管理机构必须采取责令其临时停航、停止作业，禁止进港、离港等强制性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对内河交通密集区域、多发事故水域以及货物装卸、乘客上下比较集中的港口，对客渡船、滚装客船、高速客轮、旅游船和载运危险货物的船舶，海事管理机构必须加强安全巡查。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海事管理机构依照本条例实施监督检查时，可以根据情况对违反本条例有关规定的船舶，采取责令临时停航、驶向指定地点，禁止进港、离港，强制卸载、拆除动力装置、暂扣船舶等保障通航安全的措施。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海事管理机构的工作人员依法在内河通航水域对船舶、浮动设施进行内河交通安全监督检查，任何单位和个人不得拒绝或者阻挠。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有关单位或者个人应当接受海事管理机构依法实施的安全监督检查，并为其提供方便。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海事管理机构的工作人员依照本条例实施监督检查时，应当出示执法证件，表明身份。</w:t>
      </w:r>
    </w:p>
    <w:p>
      <w:pPr>
        <w:pStyle w:val="3"/>
        <w:bidi w:val="0"/>
        <w:rPr>
          <w:szCs w:val="32"/>
        </w:rPr>
      </w:pPr>
      <w:r>
        <w:t>第十章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违反本条例的规定，应当报废的船舶、浮动设施在内河航行或者作业的，由海事管理机构责令停航或者停止作业，并对船舶、浮动设施予以没收。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违反本条例的规定，船舶、浮动设施未持有合格的检验证书、登记证书或者船舶未持有必要的航行资料，擅自航行或者作业的，由海事管理机构责令停止航行或者作业；拒不停止的，暂扣船舶、浮动设施；情节严重的，予以没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违反本条例的规定，船舶未按照国务院交通主管部门的规定配备船员擅自航行，或者浮动设施未按照国务院交通主管部门的规定配备掌握水上交通安全技能的船员擅自作业的，由海事管理机构责令限期改正，对船舶、浮动设施所有人或者经营人处1万元以上10万元以下的罚款；逾期不改正的，责令停航或者停止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违反本条例的规定，未经考试合格并取得适任证书或者其他适任证件的人员擅自从事船舶航行的，由海事管理机构责令其立即离岗，对直接责任人员处2000元以上2万元以下的罚款，并对聘用单位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违反本条例的规定，按照国家规定必须取得船舶污染损害责任、沉船打捞责任的保险文书或者财务保证书的船舶的所有人或者经营人，未取得船舶污染损害责任、沉船打捞责任保险文书或者财务担保证明的，由海事管理机构责令限期改正；逾期不改正的，责令停航，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违反本条例的规定，船舶在内河航行时，有下列情形之一的，由海事管理机构责令改正，处5000元以上5万元以下的罚款；情节严重的，禁止船舶进出港口或者责令停航，并可以对责任船员给予暂扣适任证书或者其他适任证件3个月至6个月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(一)未按照规定悬挂国旗，标明船名、船籍港、载重线的；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(二)未向海事管理机构办理船舶进出港签证手续的；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(三)未按照规定申请引航的；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(四)擅自进出内河港口，强行通过交通管制区、通航密集区、航行条件受限制区域或者禁航区的；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(五)载运或者拖带超重、超长、超高、超宽、半潜的物体，未申请或者未按照核定的航路、时间航行的。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违反本条例的规定，船舶未在码头、泊位或者依法公布的锚地、停泊区、作业区停泊的，由海事管理机构责令改正；拒不改正的，予以强行拖离，因拖离发生的费用由船舶所有人或者经营人承担。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违反本条例的规定，在内河通航水域或者岸线上进行有关作业或者活动未经批准或者备案，或者未设置标志、显示信号的，由海事管理机构责令改正，处5000元以上5万元以下的罚款。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违反本条例的规定，从事危险货物作业，有下列情形之一的，由海事管理机构责令停止作业或者航行，对负有责任的主管人员或者其他直接责任人员处2万元以上10万元以下的罚款；属于船员的，并给予暂扣适任证书或者其他适任证件6个月以上直至吊销适任证书或者其他适任证件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(一)从事危险货物运输的船舶，未编制危险货物事故应急预案或者未配备相应的应急救援设备和器材的；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(二)船舶装卸、过驳危险货物或者载运危险货物进出港口未经海事管理机构、港口管理机构同意的。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未持有危险货物适装证书擅自载运危险货物或者未按照安全技术规范进行配载和运输的，依照《危险化学品安全管理条例》的规定处罚。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违反本条例的规定，未经批准擅自设置或者撤销渡口的，由渡口所在地县级人民政府指定的部门责令限期改正；逾期不改正的，予以强制拆除或者恢复，因强制拆除或者恢复发生的费用分别由设置人、撤销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w:t>
      </w:r>
      <w:r>
        <w:rPr>
          <w:rFonts w:hint="eastAsia" w:ascii="仿宋_GB2312" w:hAnsi="仿宋_GB2312" w:eastAsia="仿宋_GB2312" w:cs="仿宋_GB2312"/>
          <w:sz w:val="32"/>
          <w:szCs w:val="32"/>
        </w:rPr>
        <w:t>　违反本条例的规定，渡口船舶未标明识别标志、载客定额、安全注意事项的，由渡口所在地县级人民政府指定的部门责令改正，处2000元以上1万元以下的罚款；逾期不改正的，责令停航。</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w:t>
      </w:r>
      <w:r>
        <w:rPr>
          <w:rFonts w:hint="eastAsia" w:ascii="仿宋_GB2312" w:hAnsi="仿宋_GB2312" w:eastAsia="仿宋_GB2312" w:cs="仿宋_GB2312"/>
          <w:sz w:val="32"/>
          <w:szCs w:val="32"/>
        </w:rPr>
        <w:t>　违反本条例的规定，在内河通航水域的航道内养殖、种植植物、水生物或者设置永久性固定设施的，由海事管理机构责令限期改正；逾期不改正的，予以强制清除，因清除发生的费用由其所有人或者经营人承担。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w:t>
      </w:r>
      <w:r>
        <w:rPr>
          <w:rFonts w:hint="eastAsia" w:ascii="仿宋_GB2312" w:hAnsi="仿宋_GB2312" w:eastAsia="仿宋_GB2312" w:cs="仿宋_GB2312"/>
          <w:sz w:val="32"/>
          <w:szCs w:val="32"/>
        </w:rPr>
        <w:t>　违反本条例的规定，内河通航水域中的沉没物、漂流物、搁浅物的所有人或者经营人，未按照国家有关规定设置标志或者未在规定的时间内打捞清除的，由海事管理机构责令限期改正；逾期不改正的，海事管理机构强制设置标志或者组织打捞清除；需要立即组织打捞清除的，海事管理机构应当及时组织打捞清除。海事管理机构因设置标志或者打捞清除发生的费用，由沉没物、漂流物、搁浅物的所有人或者经营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w:t>
      </w:r>
      <w:r>
        <w:rPr>
          <w:rFonts w:hint="eastAsia" w:ascii="仿宋_GB2312" w:hAnsi="仿宋_GB2312" w:eastAsia="仿宋_GB2312" w:cs="仿宋_GB2312"/>
          <w:sz w:val="32"/>
          <w:szCs w:val="32"/>
        </w:rPr>
        <w:t>　违反本条例的规定，船舶、浮动设施遇险后未履行报告义务或者不积极施救的，由海事管理机构给予警告，并可以对责任船员给予暂扣适任证书或者其他适任证件3个月至6个月直至吊销适任证书或者其他适任证件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w:t>
      </w:r>
      <w:r>
        <w:rPr>
          <w:rFonts w:hint="eastAsia" w:ascii="仿宋_GB2312" w:hAnsi="仿宋_GB2312" w:eastAsia="仿宋_GB2312" w:cs="仿宋_GB2312"/>
          <w:sz w:val="32"/>
          <w:szCs w:val="32"/>
        </w:rPr>
        <w:t>　违反本条例的规定，船舶、浮动设施发生内河交通事故的，除依法承担相应的法律责任外，由海事管理机构根据调查结论，对责任船员给予暂扣适任证书或者其他适任证件6个月以上直至吊销适任证书或者其他适任证件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w:t>
      </w:r>
      <w:r>
        <w:rPr>
          <w:rFonts w:hint="eastAsia" w:ascii="仿宋_GB2312" w:hAnsi="仿宋_GB2312" w:eastAsia="仿宋_GB2312" w:cs="仿宋_GB2312"/>
          <w:sz w:val="32"/>
          <w:szCs w:val="32"/>
        </w:rPr>
        <w:t>　违反本条例的规定，遇险现场和附近的船舶、船员不服从海事管理机构的统一调度和指挥的，由海事管理机构给予警告，并可以对责任船员给予暂扣适任证书或者其他适任证件3个月至6个月直至吊销适任证书或者其他适任证件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w:t>
      </w:r>
      <w:r>
        <w:rPr>
          <w:rFonts w:hint="eastAsia" w:ascii="仿宋_GB2312" w:hAnsi="仿宋_GB2312" w:eastAsia="仿宋_GB2312" w:cs="仿宋_GB2312"/>
          <w:sz w:val="32"/>
          <w:szCs w:val="32"/>
        </w:rPr>
        <w:t>　违反本条例的规定，伪造、变造、买卖、转借、冒用船舶检验证书、船舶登记证书、船员适任证书或者其他适任证件的，由海事管理机构没收有关的证书或者证件；有违法所得的，没收违法所得，并处违法所得2倍以上5倍以下的罚款；没有违法所得或者违法所得不足2万元的，处1万元以上5万元以下的罚款；触犯刑律的，依照刑法关于伪造、变造、买卖国家机关公文、证件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w:t>
      </w:r>
      <w:r>
        <w:rPr>
          <w:rFonts w:hint="eastAsia" w:ascii="仿宋_GB2312" w:hAnsi="仿宋_GB2312" w:eastAsia="仿宋_GB2312" w:cs="仿宋_GB2312"/>
          <w:sz w:val="32"/>
          <w:szCs w:val="32"/>
        </w:rPr>
        <w:t>　违反本条例的规定，船舶、浮动设施的所有人或者经营人指使、强令船员违章操作的，由海事管理机构给予警告，处1万元以上5万元以下的罚款，并可以责令停航或者停止作业；造成重大伤亡事故或者严重后果的，依照刑法关于重大责任事故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w:t>
      </w:r>
      <w:r>
        <w:rPr>
          <w:rFonts w:hint="eastAsia" w:ascii="仿宋_GB2312" w:hAnsi="仿宋_GB2312" w:eastAsia="仿宋_GB2312" w:cs="仿宋_GB2312"/>
          <w:sz w:val="32"/>
          <w:szCs w:val="32"/>
        </w:rPr>
        <w:t>　违反本条例的规定，船舶在内河航行、停泊或者作业，不遵守航行、避让和信号显示规则的，由海事管理机构责令改正，处1000元以上1万元以下的罚款；情节严重的，对责任船员给予暂扣适任证书或者其他适任证件3个月至6个月直至吊销适任证书或者其他适任证件的处罚；造成重大内河交通事故的，依照刑法关于交通肇事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w:t>
      </w:r>
      <w:r>
        <w:rPr>
          <w:rFonts w:hint="eastAsia" w:ascii="仿宋_GB2312" w:hAnsi="仿宋_GB2312" w:eastAsia="仿宋_GB2312" w:cs="仿宋_GB2312"/>
          <w:sz w:val="32"/>
          <w:szCs w:val="32"/>
        </w:rPr>
        <w:t>　违反本条例的规定，船舶不具备安全技术条件从事货物、旅客运输，或者超载运输货物、旅客的，由海事管理机构责令改正，处2万元以上10万元以下的罚款，可以对责任船员给予暂扣适任证书或者其他适任证件6个月以上直至吊销适任证书或者其他适任证件的处罚，并对超载运输的船舶强制卸载，因卸载而发生的卸货费、存货费、旅客安置费和船舶监管费由船舶所有人或者经营人承担；发生重大伤亡事故或者造成其他严重后果的，依照刑法关于重大劳动安全事故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w:t>
      </w:r>
      <w:r>
        <w:rPr>
          <w:rFonts w:hint="eastAsia" w:ascii="仿宋_GB2312" w:hAnsi="仿宋_GB2312" w:eastAsia="仿宋_GB2312" w:cs="仿宋_GB2312"/>
          <w:sz w:val="32"/>
          <w:szCs w:val="32"/>
        </w:rPr>
        <w:t>　违反本条例的规定，船舶、浮动设施发生内河交通事故后逃逸的，由海事管理机构对责任船员给予吊销适任证书或者其他适任证件的处罚；证书或者证件吊销后，5年内不得重新从业；触犯刑律的，依照刑法关于交通肇事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w:t>
      </w:r>
      <w:r>
        <w:rPr>
          <w:rFonts w:hint="eastAsia" w:ascii="仿宋_GB2312" w:hAnsi="仿宋_GB2312" w:eastAsia="仿宋_GB2312" w:cs="仿宋_GB2312"/>
          <w:sz w:val="32"/>
          <w:szCs w:val="32"/>
        </w:rPr>
        <w:t>　违反本条例的规定，阻碍、妨碍内河交通事故调查取证，或者谎报、隐匿、毁灭证据的，由海事管理机构给予警告，并对直接责任人员处1000元以上1万元以下的罚款；属于船员的，并给予暂扣适任证书或者其他适任证件12个月以上直至吊销适任证书或者其他适任证件的处罚；以暴力、威胁方法阻碍内河交通事故调查取证的，依照刑法关于妨害公务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w:t>
      </w:r>
      <w:r>
        <w:rPr>
          <w:rFonts w:hint="eastAsia" w:ascii="仿宋_GB2312" w:hAnsi="仿宋_GB2312" w:eastAsia="仿宋_GB2312" w:cs="仿宋_GB2312"/>
          <w:sz w:val="32"/>
          <w:szCs w:val="32"/>
        </w:rPr>
        <w:t>　违反本条例的规定，海事管理机构不依据法定的安全条件进行审批、许可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w:t>
      </w:r>
      <w:r>
        <w:rPr>
          <w:rFonts w:hint="eastAsia" w:ascii="仿宋_GB2312" w:hAnsi="仿宋_GB2312" w:eastAsia="仿宋_GB2312" w:cs="仿宋_GB2312"/>
          <w:sz w:val="32"/>
          <w:szCs w:val="32"/>
        </w:rPr>
        <w:t>　违反本条例的规定，海事管理机构对审批、许可的安全事项不实施监督检查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w:t>
      </w:r>
      <w:r>
        <w:rPr>
          <w:rFonts w:hint="eastAsia" w:ascii="仿宋_GB2312" w:hAnsi="仿宋_GB2312" w:eastAsia="仿宋_GB2312" w:cs="仿宋_GB2312"/>
          <w:sz w:val="32"/>
          <w:szCs w:val="32"/>
        </w:rPr>
        <w:t>　违反本条例的规定，海事管理机构发现船舶、浮动设施不再具备安全航行、停泊、作业条件而不及时撤销批准或者许可并予以处理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w:t>
      </w:r>
      <w:r>
        <w:rPr>
          <w:rFonts w:hint="eastAsia" w:ascii="仿宋_GB2312" w:hAnsi="仿宋_GB2312" w:eastAsia="仿宋_GB2312" w:cs="仿宋_GB2312"/>
          <w:sz w:val="32"/>
          <w:szCs w:val="32"/>
        </w:rPr>
        <w:t>　违反本条例的规定，海事管理机构对未经审批、许可擅自从事旅客、危险货物运输的船舶不实施监督检查，或者发现内河交通安全隐患不及时依法处理，或者对违法行为不依法予以处罚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w:t>
      </w:r>
      <w:r>
        <w:rPr>
          <w:rFonts w:hint="eastAsia" w:ascii="仿宋_GB2312" w:hAnsi="仿宋_GB2312" w:eastAsia="仿宋_GB2312" w:cs="仿宋_GB2312"/>
          <w:sz w:val="32"/>
          <w:szCs w:val="32"/>
        </w:rPr>
        <w:t>　违反本条例的规定，渡口所在地县级人民政府指定的部门，有下列情形之一的，根据不同情节，对负有责任的主管人员和其他直接责任人员，给予降级或者撤职的行政处分；造成重大内河交通事故或者致使公共财产、国家和人民利益遭受重大损失的，依照刑法关于滥用职权罪、玩忽职守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(一)对县级人民政府批准的渡口不依法实施监督检查的；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(二)对未经县级人民政府批准擅自设立的渡口不予以查处的；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渡船超载、人与大牲畜混载、人与爆炸品、压缩气体和液化气体、易燃液体、易燃固体、自燃物品和遇湿易燃物品、氧化剂和有机过氧化物、有毒品和腐蚀品等危险品混载以及其他危及安全的行为不及时纠正并依法处理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w:t>
      </w:r>
      <w:r>
        <w:rPr>
          <w:rFonts w:hint="eastAsia" w:ascii="仿宋_GB2312" w:hAnsi="仿宋_GB2312" w:eastAsia="仿宋_GB2312" w:cs="仿宋_GB2312"/>
          <w:sz w:val="32"/>
          <w:szCs w:val="32"/>
        </w:rPr>
        <w:t>　违反本条例的规定，触犯《中华人民共和国治安管理处罚条例》，构成违反治安管理行为的，由公安机关给予治安管理处罚。</w:t>
      </w:r>
    </w:p>
    <w:p>
      <w:pPr>
        <w:pStyle w:val="3"/>
        <w:bidi w:val="0"/>
        <w:rPr>
          <w:szCs w:val="32"/>
        </w:rPr>
      </w:pPr>
      <w:r>
        <w:t>第十一章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w:t>
      </w:r>
      <w:r>
        <w:rPr>
          <w:rFonts w:hint="eastAsia" w:ascii="仿宋_GB2312" w:hAnsi="仿宋_GB2312" w:eastAsia="仿宋_GB2312" w:cs="仿宋_GB2312"/>
          <w:sz w:val="32"/>
          <w:szCs w:val="32"/>
        </w:rPr>
        <w:t>　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(一)内河通航水域，是指由海事管理机构认定的可供船舶航行的江、河、湖泊、水库、运河等水域。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(二)船舶，是指各类排水或者非排水的船、艇、筏、水上飞行器、潜水器、移动式平台以及其他水上移动装置。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(三)浮动设施，是指采用缆绳或者锚链等非刚性固定方式系固并漂浮或者潜于水中的建筑、装置。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(四)交通事故，是指船舶、浮动设施在内河通航水域发生的碰撞、触碰、触礁、浪损、搁浅、火灾、爆炸、沉没等引起人身伤亡和财产损失的事件。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w:t>
      </w:r>
      <w:r>
        <w:rPr>
          <w:rFonts w:hint="eastAsia" w:ascii="仿宋_GB2312" w:hAnsi="仿宋_GB2312" w:eastAsia="仿宋_GB2312" w:cs="仿宋_GB2312"/>
          <w:sz w:val="32"/>
          <w:szCs w:val="32"/>
        </w:rPr>
        <w:t>　军事船舶在内河通航水域航行，应当遵守内河航行、避让和信号显示规则。军事船舶的检验、登记和船员的考试、发证等管理办法，按照国家有关规定执行。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w:t>
      </w:r>
      <w:r>
        <w:rPr>
          <w:rFonts w:hint="eastAsia" w:ascii="仿宋_GB2312" w:hAnsi="仿宋_GB2312" w:eastAsia="仿宋_GB2312" w:cs="仿宋_GB2312"/>
          <w:sz w:val="32"/>
          <w:szCs w:val="32"/>
        </w:rPr>
        <w:t>　渔船的检验、登记以及进出渔港签证，渔船船员的考试、发证，渔船之间交通事故的调查处理，以及渔港水域内渔船的交通安全管理办法，由国务院渔业行政主管部门依据本条例另行规定。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w:t>
      </w:r>
      <w:r>
        <w:rPr>
          <w:rFonts w:hint="eastAsia" w:ascii="仿宋_GB2312" w:hAnsi="仿宋_GB2312" w:eastAsia="仿宋_GB2312" w:cs="仿宋_GB2312"/>
          <w:sz w:val="32"/>
          <w:szCs w:val="32"/>
        </w:rPr>
        <w:t>　城市园林水域水上交通安全管理的具体办法，由省、自治区、直辖市人民政府制定；但是，有关船舶检验、登记和船员管理，依照国家有关规定执行。</w:t>
      </w:r>
    </w:p>
    <w:p>
      <w:pPr>
        <w:pStyle w:val="11"/>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第九十五条</w:t>
      </w:r>
      <w:r>
        <w:rPr>
          <w:rFonts w:hint="eastAsia" w:ascii="仿宋_GB2312" w:hAnsi="仿宋_GB2312" w:eastAsia="仿宋_GB2312" w:cs="仿宋_GB2312"/>
          <w:sz w:val="32"/>
          <w:szCs w:val="32"/>
        </w:rPr>
        <w:t>　本条例自2002年8月1日起施行。1986年12月16日国务院发布的《中华人民共和国内河交通安全管理条例》同时废止。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Words>
  <Characters>83</Characters>
  <Lines>69</Lines>
  <Paragraphs>19</Paragraphs>
  <TotalTime>1</TotalTime>
  <ScaleCrop>false</ScaleCrop>
  <LinksUpToDate>false</LinksUpToDate>
  <CharactersWithSpaces>85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2022-05-30T01:49:35Z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