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282" w:rsidRDefault="00EF0282">
      <w:pPr>
        <w:jc w:val="center"/>
        <w:rPr>
          <w:b/>
          <w:bCs/>
          <w:sz w:val="44"/>
          <w:szCs w:val="44"/>
        </w:rPr>
      </w:pPr>
    </w:p>
    <w:p w:rsidR="00EF0282" w:rsidRDefault="00344472">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储蓄管理条例</w:t>
      </w:r>
    </w:p>
    <w:p w:rsidR="00EF0282" w:rsidRDefault="00344472">
      <w:pPr>
        <w:pStyle w:val="2"/>
        <w:ind w:firstLineChars="200" w:firstLine="664"/>
        <w:jc w:val="left"/>
        <w:rPr>
          <w:rFonts w:ascii="楷体_GB2312" w:eastAsia="楷体_GB2312" w:hAnsi="楷体_GB2312" w:cs="楷体_GB2312"/>
          <w:bCs w:val="0"/>
          <w:spacing w:val="6"/>
        </w:rPr>
      </w:pPr>
      <w:r>
        <w:rPr>
          <w:rFonts w:ascii="楷体_GB2312" w:eastAsia="楷体_GB2312" w:hAnsi="楷体_GB2312" w:cs="楷体_GB2312" w:hint="eastAsia"/>
          <w:bCs w:val="0"/>
          <w:spacing w:val="6"/>
        </w:rPr>
        <w:t>(1992</w:t>
      </w:r>
      <w:r>
        <w:rPr>
          <w:rFonts w:ascii="楷体_GB2312" w:eastAsia="楷体_GB2312" w:hAnsi="楷体_GB2312" w:cs="楷体_GB2312" w:hint="eastAsia"/>
          <w:bCs w:val="0"/>
          <w:spacing w:val="6"/>
        </w:rPr>
        <w:t>年</w:t>
      </w:r>
      <w:r>
        <w:rPr>
          <w:rFonts w:ascii="楷体_GB2312" w:eastAsia="楷体_GB2312" w:hAnsi="楷体_GB2312" w:cs="楷体_GB2312" w:hint="eastAsia"/>
          <w:bCs w:val="0"/>
          <w:spacing w:val="6"/>
        </w:rPr>
        <w:t>12</w:t>
      </w:r>
      <w:r>
        <w:rPr>
          <w:rFonts w:ascii="楷体_GB2312" w:eastAsia="楷体_GB2312" w:hAnsi="楷体_GB2312" w:cs="楷体_GB2312" w:hint="eastAsia"/>
          <w:bCs w:val="0"/>
          <w:spacing w:val="6"/>
        </w:rPr>
        <w:t>月</w:t>
      </w:r>
      <w:r>
        <w:rPr>
          <w:rFonts w:ascii="楷体_GB2312" w:eastAsia="楷体_GB2312" w:hAnsi="楷体_GB2312" w:cs="楷体_GB2312" w:hint="eastAsia"/>
          <w:bCs w:val="0"/>
          <w:spacing w:val="6"/>
        </w:rPr>
        <w:t>11</w:t>
      </w:r>
      <w:r>
        <w:rPr>
          <w:rFonts w:ascii="楷体_GB2312" w:eastAsia="楷体_GB2312" w:hAnsi="楷体_GB2312" w:cs="楷体_GB2312" w:hint="eastAsia"/>
          <w:bCs w:val="0"/>
          <w:spacing w:val="6"/>
        </w:rPr>
        <w:t>日中华人民共和国国务院令第</w:t>
      </w:r>
      <w:r>
        <w:rPr>
          <w:rFonts w:ascii="楷体_GB2312" w:eastAsia="楷体_GB2312" w:hAnsi="楷体_GB2312" w:cs="楷体_GB2312" w:hint="eastAsia"/>
          <w:bCs w:val="0"/>
          <w:spacing w:val="6"/>
        </w:rPr>
        <w:t>107</w:t>
      </w:r>
      <w:r>
        <w:rPr>
          <w:rFonts w:ascii="楷体_GB2312" w:eastAsia="楷体_GB2312" w:hAnsi="楷体_GB2312" w:cs="楷体_GB2312" w:hint="eastAsia"/>
          <w:bCs w:val="0"/>
          <w:spacing w:val="6"/>
        </w:rPr>
        <w:t>号发布　自</w:t>
      </w:r>
      <w:r>
        <w:rPr>
          <w:rFonts w:ascii="楷体_GB2312" w:eastAsia="楷体_GB2312" w:hAnsi="楷体_GB2312" w:cs="楷体_GB2312" w:hint="eastAsia"/>
          <w:bCs w:val="0"/>
          <w:spacing w:val="6"/>
        </w:rPr>
        <w:t>1993</w:t>
      </w:r>
      <w:r>
        <w:rPr>
          <w:rFonts w:ascii="楷体_GB2312" w:eastAsia="楷体_GB2312" w:hAnsi="楷体_GB2312" w:cs="楷体_GB2312" w:hint="eastAsia"/>
          <w:bCs w:val="0"/>
          <w:spacing w:val="6"/>
        </w:rPr>
        <w:t>年</w:t>
      </w:r>
      <w:r>
        <w:rPr>
          <w:rFonts w:ascii="楷体_GB2312" w:eastAsia="楷体_GB2312" w:hAnsi="楷体_GB2312" w:cs="楷体_GB2312" w:hint="eastAsia"/>
          <w:bCs w:val="0"/>
          <w:spacing w:val="6"/>
        </w:rPr>
        <w:t>3</w:t>
      </w:r>
      <w:r>
        <w:rPr>
          <w:rFonts w:ascii="楷体_GB2312" w:eastAsia="楷体_GB2312" w:hAnsi="楷体_GB2312" w:cs="楷体_GB2312" w:hint="eastAsia"/>
          <w:bCs w:val="0"/>
          <w:spacing w:val="6"/>
        </w:rPr>
        <w:t>月</w:t>
      </w:r>
      <w:r>
        <w:rPr>
          <w:rFonts w:ascii="楷体_GB2312" w:eastAsia="楷体_GB2312" w:hAnsi="楷体_GB2312" w:cs="楷体_GB2312" w:hint="eastAsia"/>
          <w:bCs w:val="0"/>
          <w:spacing w:val="6"/>
        </w:rPr>
        <w:t>1</w:t>
      </w:r>
      <w:r>
        <w:rPr>
          <w:rFonts w:ascii="楷体_GB2312" w:eastAsia="楷体_GB2312" w:hAnsi="楷体_GB2312" w:cs="楷体_GB2312" w:hint="eastAsia"/>
          <w:bCs w:val="0"/>
          <w:spacing w:val="6"/>
        </w:rPr>
        <w:t>日起施行</w:t>
      </w:r>
      <w:r>
        <w:rPr>
          <w:rFonts w:ascii="楷体_GB2312" w:eastAsia="楷体_GB2312" w:hAnsi="楷体_GB2312" w:cs="楷体_GB2312" w:hint="eastAsia"/>
          <w:bCs w:val="0"/>
          <w:spacing w:val="6"/>
        </w:rPr>
        <w:t>)</w:t>
      </w:r>
    </w:p>
    <w:p w:rsidR="00EF0282" w:rsidRDefault="00344472">
      <w:pPr>
        <w:pStyle w:val="2"/>
      </w:pPr>
      <w:r>
        <w:rPr>
          <w:rFonts w:ascii="Times New Roman" w:hAnsi="Times New Roman" w:cs="Times New Roman"/>
        </w:rPr>
        <w:t>第一章　总　　则</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为了发展储蓄事业，保护储户的合法权益，加强储蓄管理，制定本条例。</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凡在中国境内办理储蓄业务的储蓄机构和参加储蓄的个人，必须遵守本条例的规定。</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本条例所称储</w:t>
      </w:r>
      <w:r>
        <w:rPr>
          <w:rFonts w:ascii="仿宋_GB2312" w:eastAsia="仿宋_GB2312" w:hAnsi="仿宋_GB2312" w:cs="仿宋_GB2312" w:hint="eastAsia"/>
          <w:sz w:val="32"/>
          <w:szCs w:val="32"/>
        </w:rPr>
        <w:t>蓄是指个人将属于其所有的人民币或者外币存入储蓄机构，储蓄机构开具存折或者存单作为凭证，个人凭存折或者存单可以支取存款本金和利息，储蓄机构依照规定支付存款本金和利息的活动。</w:t>
      </w:r>
    </w:p>
    <w:p w:rsidR="00EF0282" w:rsidRDefault="003444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任何单位和个人不得将公款以个人名义转为储蓄存款。</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本条例所称储蓄机构是指经中国人民银行或</w:t>
      </w:r>
      <w:r w:rsidR="001D2DED">
        <w:rPr>
          <w:rFonts w:ascii="Times New Roman" w:eastAsia="仿宋_GB2312" w:hAnsi="Times New Roman" w:cs="Times New Roman" w:hint="eastAsia"/>
          <w:sz w:val="32"/>
          <w:szCs w:val="32"/>
        </w:rPr>
        <w:t>其</w:t>
      </w:r>
      <w:r>
        <w:rPr>
          <w:rFonts w:ascii="Times New Roman" w:eastAsia="仿宋_GB2312" w:hAnsi="Times New Roman" w:cs="Times New Roman"/>
          <w:sz w:val="32"/>
          <w:szCs w:val="32"/>
        </w:rPr>
        <w:t>分支机构批准，各银行、信用合作社办理储蓄业务的机构，以及邮政企业依法办理储蓄业务的机构。</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国家保护个人合法储蓄存款的所有权及其他合法</w:t>
      </w:r>
      <w:r>
        <w:rPr>
          <w:rFonts w:ascii="Times New Roman" w:eastAsia="仿宋_GB2312" w:hAnsi="Times New Roman" w:cs="Times New Roman"/>
          <w:sz w:val="32"/>
          <w:szCs w:val="32"/>
        </w:rPr>
        <w:lastRenderedPageBreak/>
        <w:t>权益，鼓励个人参加储蓄。</w:t>
      </w:r>
    </w:p>
    <w:p w:rsidR="00EF0282" w:rsidRDefault="0034447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储蓄机构办理储蓄</w:t>
      </w:r>
      <w:r>
        <w:rPr>
          <w:rFonts w:ascii="仿宋_GB2312" w:eastAsia="仿宋_GB2312" w:hAnsi="仿宋_GB2312" w:cs="仿宋_GB2312" w:hint="eastAsia"/>
          <w:sz w:val="32"/>
          <w:szCs w:val="32"/>
        </w:rPr>
        <w:t>业</w:t>
      </w:r>
      <w:r>
        <w:rPr>
          <w:rFonts w:ascii="仿宋_GB2312" w:eastAsia="仿宋_GB2312" w:hAnsi="仿宋_GB2312" w:cs="仿宋_GB2312" w:hint="eastAsia"/>
          <w:sz w:val="32"/>
          <w:szCs w:val="32"/>
        </w:rPr>
        <w:t>务，必须遵循“存款自愿，取款自由，存款有息，为储户保密”的原则。</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中国人民银行负责全国储蓄管理工作。</w:t>
      </w:r>
    </w:p>
    <w:p w:rsidR="00EF0282" w:rsidRDefault="003444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中国人民银行及其分支</w:t>
      </w:r>
      <w:r>
        <w:rPr>
          <w:rFonts w:ascii="仿宋_GB2312" w:eastAsia="仿宋_GB2312" w:hAnsi="仿宋_GB2312" w:cs="仿宋_GB2312" w:hint="eastAsia"/>
          <w:sz w:val="32"/>
          <w:szCs w:val="32"/>
        </w:rPr>
        <w:t>机构负责储蓄机构和储蓄业务的审批，协调、仲裁有关储蓄机构之间在储蓄业务方面的争议，监督、稽核储蓄机构的业务工作，纠正和处罚违反国家</w:t>
      </w:r>
      <w:r>
        <w:rPr>
          <w:rFonts w:ascii="Times New Roman" w:eastAsia="仿宋_GB2312" w:hAnsi="Times New Roman" w:cs="Times New Roman"/>
          <w:sz w:val="32"/>
          <w:szCs w:val="32"/>
        </w:rPr>
        <w:t>储蓄法律、法规和政策的行为。</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中国人民银行经国务院批准，可以采取适当措施稳定储蓄，保护储户利益。</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除储蓄机构外，任何单位和个人不得办理储蓄业务。</w:t>
      </w:r>
    </w:p>
    <w:p w:rsidR="00EF0282" w:rsidRDefault="00344472">
      <w:pPr>
        <w:pStyle w:val="2"/>
      </w:pPr>
      <w:r>
        <w:t>第二章　储蓄机构</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储蓄机构的设置，应当遵循统一规划，方便群众，注重实效，确保安全的</w:t>
      </w:r>
      <w:r>
        <w:rPr>
          <w:rFonts w:ascii="Times New Roman" w:eastAsia="仿宋_GB2312" w:hAnsi="Times New Roman" w:cs="Times New Roman"/>
          <w:sz w:val="32"/>
          <w:szCs w:val="32"/>
        </w:rPr>
        <w:t>原则。</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储蓄机构</w:t>
      </w:r>
      <w:r>
        <w:rPr>
          <w:rFonts w:ascii="仿宋_GB2312" w:eastAsia="仿宋_GB2312" w:hAnsi="仿宋_GB2312" w:cs="仿宋_GB2312" w:hint="eastAsia"/>
          <w:sz w:val="32"/>
          <w:szCs w:val="32"/>
        </w:rPr>
        <w:t>的设置，应当按照国家有关规定报中国人民银行或其分支机构批准，并申领《经营金融业务许可证》，但国家法律、行政法规另有规定的除外。</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储蓄机构的设置必须具备下列条件：</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有机构名称、组织机构和营业场所；</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熟悉储蓄业务的工作人员不少于四人；</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有必要的安全防范设备。</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经当地中国</w:t>
      </w:r>
      <w:r>
        <w:rPr>
          <w:rFonts w:ascii="Times New Roman" w:eastAsia="仿宋_GB2312" w:hAnsi="Times New Roman" w:cs="Times New Roman"/>
          <w:spacing w:val="-6"/>
          <w:sz w:val="32"/>
          <w:szCs w:val="32"/>
        </w:rPr>
        <w:t>人民银行分支机构批准，储蓄机构可以设立储蓄代办点。储蓄代办点的管理办法，由中国人</w:t>
      </w:r>
      <w:r>
        <w:rPr>
          <w:rFonts w:ascii="Times New Roman" w:eastAsia="仿宋_GB2312" w:hAnsi="Times New Roman" w:cs="Times New Roman"/>
          <w:sz w:val="32"/>
          <w:szCs w:val="32"/>
        </w:rPr>
        <w:t>民银行规定。</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储蓄机构应当按照规定时间营业，不得擅自停业或者缩短营业时间。</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储蓄机构应当保证储蓄存款本金和利息的支付，不得违反规定拒绝支付储蓄存款本金和利息。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储蓄机构不得使用不正当手段吸收储蓄存款。</w:t>
      </w:r>
    </w:p>
    <w:p w:rsidR="00EF0282" w:rsidRDefault="00344472">
      <w:pPr>
        <w:pStyle w:val="2"/>
      </w:pPr>
      <w:r>
        <w:t>第三章　储蓄业务</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储蓄机构</w:t>
      </w:r>
      <w:r>
        <w:rPr>
          <w:rFonts w:ascii="仿宋_GB2312" w:eastAsia="仿宋_GB2312" w:hAnsi="仿宋_GB2312" w:cs="仿宋_GB2312" w:hint="eastAsia"/>
          <w:sz w:val="32"/>
          <w:szCs w:val="32"/>
        </w:rPr>
        <w:t>可以办理下列人民币储蓄业务：</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活期储蓄存款；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整存整取定期储蓄存款；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零存整取定期储蓄存款；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存本取息定期储蓄存款；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整存零取定期储蓄存款；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定活两便储蓄存款；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华侨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整存整取定期储蓄存款；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经中国人民银行批准开办的其他种类的储蓄存款。</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经外汇管</w:t>
      </w:r>
      <w:r>
        <w:rPr>
          <w:rFonts w:ascii="仿宋_GB2312" w:eastAsia="仿宋_GB2312" w:hAnsi="仿宋_GB2312" w:cs="仿宋_GB2312" w:hint="eastAsia"/>
          <w:sz w:val="32"/>
          <w:szCs w:val="32"/>
        </w:rPr>
        <w:t>理部门批准，储蓄机构可以办理下列外币储蓄业务：</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活期储蓄存款；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整存整取定期储蓄存款；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经中国人民银行批准开办的其他种类的外币储蓄存款。</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办理外币储蓄业务，存款本金和利息应当用外币支付。</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储蓄机构办理定期储蓄存款时，根据储户的意愿，可以同时为储户办理定期储蓄存款到期自动转存业务。</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根据国家住房改革的有关政策和实际需要，经当地中国人民银行分支机构批准，储蓄机构可以办理个人住房储蓄业务。</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经中国人民银行</w:t>
      </w:r>
      <w:r>
        <w:rPr>
          <w:rFonts w:ascii="仿宋_GB2312" w:eastAsia="仿宋_GB2312" w:hAnsi="仿宋_GB2312" w:cs="仿宋_GB2312" w:hint="eastAsia"/>
          <w:sz w:val="32"/>
          <w:szCs w:val="32"/>
        </w:rPr>
        <w:t>或其分支机构批准，储蓄机构可以办理下列金融业务：</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发售和</w:t>
      </w:r>
      <w:r>
        <w:rPr>
          <w:rFonts w:ascii="仿宋_GB2312" w:eastAsia="仿宋_GB2312" w:hAnsi="仿宋_GB2312" w:cs="仿宋_GB2312" w:hint="eastAsia"/>
          <w:sz w:val="32"/>
          <w:szCs w:val="32"/>
        </w:rPr>
        <w:t>兑付以居民个人为发行对象的国库券、金融债券、企业债券等有价证券；</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个人定期储蓄存款存单小额抵押贷款业务；</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其他金融业务。</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储蓄机构可以办理代发工资和代收房租、水电费等服务性业务。</w:t>
      </w:r>
    </w:p>
    <w:p w:rsidR="00EF0282" w:rsidRDefault="00344472">
      <w:pPr>
        <w:pStyle w:val="2"/>
      </w:pPr>
      <w:r>
        <w:lastRenderedPageBreak/>
        <w:t>第四章　储蓄存款利率和计息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储蓄存款利率由中国人民银行拟订，经国务院批准后公布，或者由国务院授权中国人民银行制定、公布。</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储蓄机构必须挂牌公告储蓄存款利率，不得擅自变动。</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未到期的定期储蓄存款，全部提前支取的，按支取日挂牌公告的活期储蓄存款利率计付利息；部分提前支取的，提前支取的部分按支取日挂牌公告的活期储蓄存款利率计付利息，其余部分到期时按存单开户日挂牌公告的定期储蓄存款利率计付利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逾期支取的定期储蓄存款，其超过原定存期的部分，除约定自动转存的外，按支取日挂牌公告的活期储蓄存款利率计付利息。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定期储蓄存款在存期内遇有利率调整，按存单开户日挂牌公告的相应的定期储蓄存款利率计付利息。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活期储蓄存款在存入期间遇有利率调整，按结息日挂牌公告</w:t>
      </w:r>
      <w:r>
        <w:rPr>
          <w:rFonts w:ascii="Times New Roman" w:eastAsia="仿宋_GB2312" w:hAnsi="Times New Roman" w:cs="Times New Roman"/>
          <w:sz w:val="32"/>
          <w:szCs w:val="32"/>
        </w:rPr>
        <w:t>的活期储蓄存款利率计付利息。全部支取活期储蓄存款，按清户日挂牌公告的活期储蓄存款利率计付利息。</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储户</w:t>
      </w:r>
      <w:r>
        <w:rPr>
          <w:rFonts w:ascii="Times New Roman" w:eastAsia="仿宋_GB2312" w:hAnsi="Times New Roman" w:cs="Times New Roman"/>
          <w:spacing w:val="6"/>
          <w:sz w:val="32"/>
          <w:szCs w:val="32"/>
        </w:rPr>
        <w:t>认为储蓄存款利息支付有错误时，有权</w:t>
      </w:r>
      <w:r>
        <w:rPr>
          <w:rFonts w:ascii="Times New Roman" w:eastAsia="仿宋_GB2312" w:hAnsi="Times New Roman" w:cs="Times New Roman"/>
          <w:spacing w:val="6"/>
          <w:sz w:val="32"/>
          <w:szCs w:val="32"/>
        </w:rPr>
        <w:lastRenderedPageBreak/>
        <w:t>向经办的储蓄机构申请复核；经办的储蓄机构应当及时受理、复</w:t>
      </w:r>
      <w:r>
        <w:rPr>
          <w:rFonts w:ascii="Times New Roman" w:eastAsia="仿宋_GB2312" w:hAnsi="Times New Roman" w:cs="Times New Roman"/>
          <w:sz w:val="32"/>
          <w:szCs w:val="32"/>
        </w:rPr>
        <w:t>核。</w:t>
      </w:r>
    </w:p>
    <w:p w:rsidR="00EF0282" w:rsidRDefault="00344472">
      <w:pPr>
        <w:pStyle w:val="2"/>
      </w:pPr>
      <w:r>
        <w:t>第五章　提前支取、挂失、查询和过户</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未到期的定期储蓄存款，储户提前支取的，必须持存单和存款人的身份证明办理；代储户支取的，代支取人还必须持其身份证明。</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存单、存折分为记名式和不记名式。记名式的存单、存折可以挂失，不记名式的存单、存折不能挂失。</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储户遗失存单、存折或者预留印鉴的印章的，必须立即持本人身份证明，并提供储户的姓名、开户时间、储蓄种类、金额、帐号及住址等有关情况，向其开户的储蓄机构书面申请挂失。在特殊情况下，储户可以用口头或者函电形式申请挂失，但必须在五天内补办书面申请挂失手续。</w:t>
      </w:r>
    </w:p>
    <w:p w:rsidR="00EF0282" w:rsidRDefault="003444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储蓄机构受理挂失后，必须立即停止支付该储蓄存款；受理挂失前该储蓄存款已被他人支取的，储蓄机构不负赔偿责任。</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储蓄机构及其工作人员对储户的储蓄情况负有保密责任。</w:t>
      </w:r>
    </w:p>
    <w:p w:rsidR="00EF0282" w:rsidRDefault="003444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储蓄机构不代任何单位和个人查询、冻结或者划拨储蓄存款，国家法律、行政法规另有规定的除外。</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第三十三条</w:t>
      </w:r>
      <w:r>
        <w:rPr>
          <w:rFonts w:ascii="Times New Roman" w:eastAsia="仿宋_GB2312" w:hAnsi="Times New Roman" w:cs="Times New Roman"/>
          <w:sz w:val="32"/>
          <w:szCs w:val="32"/>
        </w:rPr>
        <w:t xml:space="preserve">　储蓄存款的所有权发生争议，涉及办理过户的，储蓄机构依据人民法院发生法律效力的判决书、裁定书或者调解书办理过户手续。</w:t>
      </w:r>
    </w:p>
    <w:p w:rsidR="00EF0282" w:rsidRDefault="00344472">
      <w:pPr>
        <w:pStyle w:val="2"/>
      </w:pPr>
      <w:r>
        <w:t>第六章　法律责任</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违反本条例规定，有下列行为之一的单位和个人，由中国人民银</w:t>
      </w:r>
      <w:r>
        <w:rPr>
          <w:rFonts w:ascii="仿宋_GB2312" w:eastAsia="仿宋_GB2312" w:hAnsi="仿宋_GB2312" w:cs="仿宋_GB2312" w:hint="eastAsia"/>
          <w:sz w:val="32"/>
          <w:szCs w:val="32"/>
        </w:rPr>
        <w:t>行或其分支机构责令其纠正，并可以根据情节轻重处以罚款、停业整顿、吊销《经营金融业务许可证》；情节严重，构成犯罪的，依法追究刑事责任：</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擅自开办储蓄业务的；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擅自设置储蓄机构的；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储蓄机构擅自开办新的储蓄种类的；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储蓄机构擅自办理本条例规定以外的其他金融业务的；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w:t>
      </w:r>
      <w:r>
        <w:rPr>
          <w:rFonts w:ascii="仿宋_GB2312" w:eastAsia="仿宋_GB2312" w:hAnsi="仿宋_GB2312" w:cs="仿宋_GB2312" w:hint="eastAsia"/>
          <w:sz w:val="32"/>
          <w:szCs w:val="32"/>
        </w:rPr>
        <w:t>停业或者缩短营业时间的；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储蓄机构采取不正当手段吸收储蓄存款的；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违反国家利率规定，擅自变动储蓄存款利率的；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泄露储户储蓄情况或者未经法定程序代为查询、冻结、划拨储蓄存款的；</w:t>
      </w:r>
    </w:p>
    <w:p w:rsidR="00EF0282" w:rsidRDefault="003444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其他违反国家储蓄法律、法规和政策的。</w:t>
      </w:r>
    </w:p>
    <w:p w:rsidR="00EF0282" w:rsidRDefault="00344472">
      <w:pPr>
        <w:pStyle w:val="a4"/>
        <w:ind w:firstLineChars="200" w:firstLine="596"/>
        <w:rPr>
          <w:rFonts w:ascii="Times New Roman" w:eastAsia="仿宋_GB2312" w:hAnsi="Times New Roman" w:cs="Times New Roman"/>
          <w:sz w:val="32"/>
          <w:szCs w:val="32"/>
        </w:rPr>
      </w:pPr>
      <w:r>
        <w:rPr>
          <w:rFonts w:ascii="仿宋_GB2312" w:eastAsia="仿宋_GB2312" w:hAnsi="仿宋_GB2312" w:cs="仿宋_GB2312" w:hint="eastAsia"/>
          <w:spacing w:val="-11"/>
          <w:sz w:val="32"/>
          <w:szCs w:val="32"/>
        </w:rPr>
        <w:t>违反本条例第三条第二款规定的，依照国家有关规定予以处</w:t>
      </w:r>
      <w:r>
        <w:rPr>
          <w:rFonts w:ascii="Times New Roman" w:eastAsia="仿宋_GB2312" w:hAnsi="Times New Roman" w:cs="Times New Roman"/>
          <w:sz w:val="32"/>
          <w:szCs w:val="32"/>
        </w:rPr>
        <w:t>罚。</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第三十五条</w:t>
      </w:r>
      <w:r>
        <w:rPr>
          <w:rFonts w:ascii="Times New Roman" w:eastAsia="仿宋_GB2312" w:hAnsi="Times New Roman" w:cs="Times New Roman"/>
          <w:sz w:val="32"/>
          <w:szCs w:val="32"/>
        </w:rPr>
        <w:t xml:space="preserve">　对处罚决定不服的，当事人可以依照《行政复议条例》的规定申请复议。对复议决定不服的，当事人可以依照《中华人民共和国行政诉讼法》的规定向人民法院提起诉讼。</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复议申请人逾期不起诉又不履行复议决定的，依照《行政复议条例》的规定执行。</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储蓄机构违反国家有关规定，侵犯储户合法权益，造成损失的，应当依法承担赔偿责任。</w:t>
      </w:r>
    </w:p>
    <w:p w:rsidR="00EF0282" w:rsidRDefault="00344472">
      <w:pPr>
        <w:pStyle w:val="2"/>
      </w:pPr>
      <w:r>
        <w:t>第七章　附　　则</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本条例施行前的定期储蓄存款，在原定存期内，依照本条例施行前国家有关规定办理计息事宜。</w:t>
      </w:r>
    </w:p>
    <w:p w:rsidR="00EF0282" w:rsidRDefault="003444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本条例由中国人民银行负责解释，实施细则由中国人民银行制定。</w:t>
      </w:r>
    </w:p>
    <w:p w:rsidR="00EF0282" w:rsidRDefault="003444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本条例自一九</w:t>
      </w:r>
      <w:r>
        <w:rPr>
          <w:rFonts w:ascii="仿宋_GB2312" w:eastAsia="仿宋_GB2312" w:hAnsi="仿宋_GB2312" w:cs="仿宋_GB2312" w:hint="eastAsia"/>
          <w:sz w:val="32"/>
          <w:szCs w:val="32"/>
        </w:rPr>
        <w:t>九三年三月一日起施行。一九八○年五月二十八日中国人民银行发布的《中国人民银行储蓄存款章程》同时废止。</w:t>
      </w:r>
      <w:bookmarkStart w:id="0" w:name="_GoBack"/>
      <w:bookmarkEnd w:id="0"/>
    </w:p>
    <w:sectPr w:rsidR="00EF0282" w:rsidSect="00EF028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4472" w:rsidRDefault="00344472" w:rsidP="00EF0282">
      <w:r>
        <w:separator/>
      </w:r>
    </w:p>
  </w:endnote>
  <w:endnote w:type="continuationSeparator" w:id="0">
    <w:p w:rsidR="00344472" w:rsidRDefault="00344472" w:rsidP="00EF02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282" w:rsidRDefault="00EF028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EF0282" w:rsidRDefault="00EF0282">
                <w:pPr>
                  <w:pStyle w:val="a6"/>
                  <w:rPr>
                    <w:sz w:val="24"/>
                  </w:rPr>
                </w:pPr>
                <w:r>
                  <w:rPr>
                    <w:rFonts w:hint="eastAsia"/>
                    <w:sz w:val="24"/>
                  </w:rPr>
                  <w:fldChar w:fldCharType="begin"/>
                </w:r>
                <w:r w:rsidR="00344472">
                  <w:rPr>
                    <w:rFonts w:hint="eastAsia"/>
                    <w:sz w:val="24"/>
                  </w:rPr>
                  <w:instrText xml:space="preserve"> PAGE  \* MERGEFORMAT </w:instrText>
                </w:r>
                <w:r>
                  <w:rPr>
                    <w:rFonts w:hint="eastAsia"/>
                    <w:sz w:val="24"/>
                  </w:rPr>
                  <w:fldChar w:fldCharType="separate"/>
                </w:r>
                <w:r w:rsidR="001D2DED">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4472" w:rsidRDefault="00344472" w:rsidP="00EF0282">
      <w:r>
        <w:separator/>
      </w:r>
    </w:p>
  </w:footnote>
  <w:footnote w:type="continuationSeparator" w:id="0">
    <w:p w:rsidR="00344472" w:rsidRDefault="00344472" w:rsidP="00EF02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DED"/>
    <w:rsid w:val="001D2E61"/>
    <w:rsid w:val="001E555F"/>
    <w:rsid w:val="002232B1"/>
    <w:rsid w:val="002262E9"/>
    <w:rsid w:val="00290D32"/>
    <w:rsid w:val="002C025D"/>
    <w:rsid w:val="002C3000"/>
    <w:rsid w:val="002E13E2"/>
    <w:rsid w:val="002F6361"/>
    <w:rsid w:val="003004CE"/>
    <w:rsid w:val="00344472"/>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F0282"/>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0282"/>
    <w:pPr>
      <w:widowControl w:val="0"/>
      <w:jc w:val="both"/>
    </w:pPr>
    <w:rPr>
      <w:kern w:val="2"/>
      <w:sz w:val="21"/>
    </w:rPr>
  </w:style>
  <w:style w:type="paragraph" w:styleId="1">
    <w:name w:val="heading 1"/>
    <w:basedOn w:val="a"/>
    <w:next w:val="a"/>
    <w:link w:val="1Char"/>
    <w:uiPriority w:val="9"/>
    <w:qFormat/>
    <w:rsid w:val="00EF028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EF028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EF028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EF028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EF028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EF028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EF028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EF028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EF0282"/>
    <w:pPr>
      <w:spacing w:before="100" w:beforeAutospacing="1" w:after="120"/>
      <w:ind w:leftChars="200" w:left="200"/>
    </w:pPr>
    <w:rPr>
      <w:szCs w:val="21"/>
    </w:rPr>
  </w:style>
  <w:style w:type="paragraph" w:styleId="a4">
    <w:name w:val="Plain Text"/>
    <w:basedOn w:val="a"/>
    <w:link w:val="Char0"/>
    <w:uiPriority w:val="99"/>
    <w:unhideWhenUsed/>
    <w:qFormat/>
    <w:rsid w:val="00EF0282"/>
    <w:rPr>
      <w:rFonts w:ascii="宋体" w:hAnsi="Courier New" w:cs="Courier New"/>
      <w:szCs w:val="21"/>
    </w:rPr>
  </w:style>
  <w:style w:type="paragraph" w:styleId="a5">
    <w:name w:val="Balloon Text"/>
    <w:basedOn w:val="a"/>
    <w:link w:val="Char1"/>
    <w:uiPriority w:val="99"/>
    <w:semiHidden/>
    <w:unhideWhenUsed/>
    <w:qFormat/>
    <w:rsid w:val="00EF0282"/>
    <w:rPr>
      <w:rFonts w:asciiTheme="minorHAnsi" w:eastAsiaTheme="minorEastAsia" w:hAnsiTheme="minorHAnsi" w:cstheme="minorBidi"/>
      <w:sz w:val="18"/>
      <w:szCs w:val="18"/>
    </w:rPr>
  </w:style>
  <w:style w:type="paragraph" w:styleId="a6">
    <w:name w:val="footer"/>
    <w:basedOn w:val="a"/>
    <w:link w:val="Char10"/>
    <w:uiPriority w:val="99"/>
    <w:unhideWhenUsed/>
    <w:qFormat/>
    <w:rsid w:val="00EF028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EF028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EF028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EF028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EF0282"/>
    <w:pPr>
      <w:spacing w:before="240" w:after="60"/>
      <w:jc w:val="center"/>
      <w:outlineLvl w:val="0"/>
    </w:pPr>
    <w:rPr>
      <w:rFonts w:ascii="Cambria" w:hAnsi="Cambria"/>
      <w:b/>
      <w:sz w:val="32"/>
      <w:szCs w:val="32"/>
    </w:rPr>
  </w:style>
  <w:style w:type="table" w:styleId="ab">
    <w:name w:val="Table Grid"/>
    <w:basedOn w:val="a1"/>
    <w:uiPriority w:val="59"/>
    <w:qFormat/>
    <w:rsid w:val="00EF028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EF0282"/>
    <w:rPr>
      <w:vertAlign w:val="superscript"/>
    </w:rPr>
  </w:style>
  <w:style w:type="character" w:customStyle="1" w:styleId="Char0">
    <w:name w:val="纯文本 Char"/>
    <w:basedOn w:val="a0"/>
    <w:link w:val="a4"/>
    <w:uiPriority w:val="99"/>
    <w:qFormat/>
    <w:rsid w:val="00EF0282"/>
    <w:rPr>
      <w:rFonts w:ascii="宋体" w:eastAsia="宋体" w:hAnsi="Courier New" w:cs="Courier New"/>
      <w:szCs w:val="21"/>
    </w:rPr>
  </w:style>
  <w:style w:type="character" w:customStyle="1" w:styleId="Char2">
    <w:name w:val="页眉 Char"/>
    <w:basedOn w:val="a0"/>
    <w:link w:val="a7"/>
    <w:uiPriority w:val="99"/>
    <w:qFormat/>
    <w:rsid w:val="00EF0282"/>
    <w:rPr>
      <w:sz w:val="18"/>
      <w:szCs w:val="18"/>
    </w:rPr>
  </w:style>
  <w:style w:type="character" w:customStyle="1" w:styleId="Char4">
    <w:name w:val="页脚 Char"/>
    <w:basedOn w:val="a0"/>
    <w:link w:val="a6"/>
    <w:uiPriority w:val="99"/>
    <w:qFormat/>
    <w:rsid w:val="00EF0282"/>
    <w:rPr>
      <w:sz w:val="18"/>
      <w:szCs w:val="18"/>
    </w:rPr>
  </w:style>
  <w:style w:type="character" w:customStyle="1" w:styleId="1Char">
    <w:name w:val="标题 1 Char"/>
    <w:basedOn w:val="a0"/>
    <w:link w:val="1"/>
    <w:uiPriority w:val="9"/>
    <w:qFormat/>
    <w:rsid w:val="00EF028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EF028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EF028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EF028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EF0282"/>
    <w:rPr>
      <w:b/>
      <w:bCs/>
      <w:sz w:val="28"/>
      <w:szCs w:val="28"/>
    </w:rPr>
  </w:style>
  <w:style w:type="character" w:customStyle="1" w:styleId="6Char">
    <w:name w:val="标题 6 Char"/>
    <w:basedOn w:val="a0"/>
    <w:link w:val="6"/>
    <w:uiPriority w:val="9"/>
    <w:semiHidden/>
    <w:qFormat/>
    <w:rsid w:val="00EF028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EF0282"/>
    <w:rPr>
      <w:b/>
      <w:bCs/>
      <w:sz w:val="24"/>
      <w:szCs w:val="24"/>
    </w:rPr>
  </w:style>
  <w:style w:type="character" w:customStyle="1" w:styleId="8Char">
    <w:name w:val="标题 8 Char"/>
    <w:basedOn w:val="a0"/>
    <w:link w:val="8"/>
    <w:uiPriority w:val="9"/>
    <w:semiHidden/>
    <w:qFormat/>
    <w:rsid w:val="00EF028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EF0282"/>
    <w:rPr>
      <w:kern w:val="2"/>
      <w:sz w:val="18"/>
      <w:szCs w:val="18"/>
    </w:rPr>
  </w:style>
  <w:style w:type="character" w:customStyle="1" w:styleId="15">
    <w:name w:val="15"/>
    <w:basedOn w:val="a0"/>
    <w:qFormat/>
    <w:rsid w:val="00EF0282"/>
    <w:rPr>
      <w:rFonts w:ascii="Times New Roman" w:hAnsi="Times New Roman" w:cs="Times New Roman" w:hint="default"/>
      <w:b/>
      <w:bCs/>
    </w:rPr>
  </w:style>
  <w:style w:type="character" w:customStyle="1" w:styleId="Char">
    <w:name w:val="正文文本缩进 Char"/>
    <w:basedOn w:val="a0"/>
    <w:link w:val="a3"/>
    <w:uiPriority w:val="99"/>
    <w:qFormat/>
    <w:rsid w:val="00EF0282"/>
    <w:rPr>
      <w:rFonts w:ascii="Times New Roman" w:eastAsia="宋体" w:hAnsi="Times New Roman" w:cs="Times New Roman"/>
      <w:kern w:val="2"/>
      <w:sz w:val="21"/>
      <w:szCs w:val="21"/>
    </w:rPr>
  </w:style>
  <w:style w:type="character" w:customStyle="1" w:styleId="Char3">
    <w:name w:val="标题 Char"/>
    <w:basedOn w:val="a0"/>
    <w:link w:val="aa"/>
    <w:qFormat/>
    <w:rsid w:val="00EF0282"/>
    <w:rPr>
      <w:rFonts w:ascii="Cambria" w:eastAsia="宋体" w:hAnsi="Cambria" w:cs="Cambria" w:hint="default"/>
      <w:b/>
      <w:kern w:val="2"/>
      <w:sz w:val="32"/>
      <w:szCs w:val="32"/>
    </w:rPr>
  </w:style>
  <w:style w:type="character" w:customStyle="1" w:styleId="Char10">
    <w:name w:val="页脚 Char1"/>
    <w:basedOn w:val="a0"/>
    <w:link w:val="a6"/>
    <w:qFormat/>
    <w:rsid w:val="00EF028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412041-C2A7-4E33-8407-4E846AC63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458</Words>
  <Characters>2617</Characters>
  <Application>Microsoft Office Word</Application>
  <DocSecurity>0</DocSecurity>
  <Lines>21</Lines>
  <Paragraphs>6</Paragraphs>
  <ScaleCrop>false</ScaleCrop>
  <Company/>
  <LinksUpToDate>false</LinksUpToDate>
  <CharactersWithSpaces>3069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