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中华人民共和国反倾销条例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2001年10月31日国务院第46次常务会议通过　2001年11月26日中华人民共和国国务院令第328号公布　自2002年1月1日起施行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为了维护对外贸易秩序和公平竞争，根据《中华人民共和国对外贸易法》的有关规定，制定本条例。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进口产品以倾销方式进入中华人民共和国市场，并对已经建立的国内产业造成实质损害或者产生实质损害威胁，或者对建立国内产业造成实质阻碍的，依照本条例的规定进行调查，采取反倾销措施。</w:t>
      </w:r>
    </w:p>
    <w:p>
      <w:pPr>
        <w:pStyle w:val="3"/>
        <w:bidi w:val="0"/>
        <w:rPr>
          <w:szCs w:val="32"/>
        </w:rPr>
      </w:pPr>
      <w:r>
        <w:t>第二章　倾销与损害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倾销，是指在正常贸易过程中进口产品以低于其正常价值的出口价格进入中华人民共和国市场。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对倾销的调查和确定，由对外贸易经济合作部(以下简称外经贸部)负责。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进口产品的正常价值，应当区别不同情况，按照下列方法确定：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(一)进口产品的同类产品，在出口国(地区)国内市场的正常贸易过程中有可比价格的，以该可比价格为正常价值；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产品的同类产品，在出口国(地区)国内市场的正常贸易过程中没有销售的，或者该同类产品的价格、数量不能据以进行公平比较的，以该同类产品出口到一个适当第三国(地区)的可比价格或者以该同类产品在原产国(地区)的生产成本加合理费用、利润，为正常价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产品不直接来自原产国(地区)的，按照前款第(一)项规定确定正常价值；但是，在产品仅通过出口国(地区)转运、产品在出口国(地区)无生产或者在出口国(地区)中不存在可比价格等情形下，可以以该同类产品在原产国(地区)的价格为正常价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进口产品的出口价格，应当区别不同情况，按照下列方法确定：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(一)进口产品有实际支付或者应当支付的价格的，以该价格为出口价格；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产品没有出口价格或者其价格不可靠的，以根据该进口产品首次转售给独立购买人的价格推定的价格为出口价格；但是，该进口产品未转售给独立购买人或者未按进口时的状态转售的，可以以外经贸部根据合理基础推定的价格为出口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进口产品的出口价格低于其正常价值的幅度，为倾销幅度。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对进口产品的出口价格和正常价值，应当考虑影响价格的各种可比性因素，按照公平、合理的方式进行比较。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倾销幅度的确定，应当将加权平均正常价值与全部可比出口交易的加权平均价格进行比较，或者将正常价值与出口价格在逐笔交易的基础上进行比较。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出口价格在不同的购买人、地区、时期之间存在很大差异，按照前款规定的方法难以比较的，可以将加权平均正常价值与单一出口交易的价格进行比较。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损害，是指倾销对已经建立的国内产业造成实质损害或者产生实质损害威胁，或者对建立国内产业造成实质阻碍。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对损害的调查和确定，由国家经济贸易委员会(以下简称国家经贸委)负责；其中，涉及农产品的反倾销国内产业损害调查，由国家经贸委会同农业部进行。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在确定倾销对国内产业造成的损害时，应当审查下列事项：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(一)倾销进口产品的数量，包括倾销进口产品的绝对数量或者相对于国内同类产品生产或者消费的数量是否大量增加，或者倾销进口产品大量增加的可能性；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(二)倾销进口产品的价格，包括倾销进口产品的价格削减或者对国内同类产品的价格产生大幅度抑制、压低等影响；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(三)倾销进口产品对国内产业的相关经济因素和指标的影响；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(四)倾销进口产品的出口国(地区)、原产国(地区)的生产能力、出口能力，被调查产品的库存情况；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(五)造成国内产业损害的其他因素。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对实质损害威胁的确定，应当依据事实，不得仅依据指控、推测或者极小的可能性。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在确定倾销对国内产业造成的损害时，应当依据肯定性证据，不得将造成损害的非倾销因素归因于倾销。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倾销进口产品来自两个以上国家(地区)，并且同时满足下列条件的，可以就倾销进口产品对国内产业造成的影响进行累积评估：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(一)来自每一国家(地区)的倾销进口产品的倾销幅度不小于2%，并且其进口量不属于可忽略不计的；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(二)根据倾销进口产品之间以及倾销进口产品与国内同类产品之间的竞争条件，进行累积评估是适当的。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可忽略不计，是指来自一个国家(地区)的倾销进口产品的数量占同类产品总进口量的比例低于3%；但是，低于3%的若干国家(地区)的总进口量超过同类产品总进口量7%的除外。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评估倾销进口产品的影响，应当针对国内同类产品的生产进行单独确定；不能针对国内同类产品的生产进行单独确定的，应当审查包括国内同类产品在内的最窄产品组或者范围的生产。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国内产业，是指中华人民共和国国内同类产品的全部生产者，或者其总产量占国内同类产品全部总产量的主要部分的生产者；但是，国内生产者与出口经营者或者进口经营者有关联的，或者其本身为倾销进口产品的进口经营者的，可以排除在国内产业之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在特殊情形下，国内一个区域市场中的生产者，在该市场中销售其全部或者几乎全部的同类产品，并且该市场中同类产品的需求主要不是由国内其他地方的生产者供给的，可以视为一个单独产业。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同类产品，是指与倾销进口产品相同的产品；没有相同产品的，以与倾销进口产品的特性最相似的产品为同类产品。</w:t>
      </w:r>
    </w:p>
    <w:p>
      <w:pPr>
        <w:pStyle w:val="3"/>
        <w:bidi w:val="0"/>
        <w:rPr>
          <w:szCs w:val="32"/>
        </w:rPr>
      </w:pPr>
      <w:r>
        <w:t>第三章　反倾销调查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国内产业或者代表国内产业的自然人、法人或者有关组织(以下统称申请人)，可以依照本条例的规定向外经贸部提出反倾销调查的书面申请。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申请书应当包括下列内容：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(一)申请人的名称、地址及有关情况；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申请调查的进口产品的完整说明，包括产品名称、所涉及的出口国(地区)或者原产国(地区)、已知的出口经营者或者生产者、产品在出口国(地区)或者原产国(地区)国内市场消费时的价格信息、出口价格信息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(三)对国内同类产品生产的数量和价值的说明；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(四)申请调查进口产品的数量和价格对国内产业的影响；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(五)申请人认为需要说明的其他内容。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申请书应当附具下列证据：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(一)申请调查的进口产品存在倾销；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(二)对国内产业的损害；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(三)倾销与损害之间存在因果关系。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外经贸部应当自收到申请人提交的申请书及有关证据之日起60天内，对申请是否由国内产业或者代表国内产业提出、申请书内容及所附具的证据等进行审查，经商国家经贸委后，决定立案调查或者不立案调查。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在决定立案调查前，应当通知有关出口国(地区)政府。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在表示支持申请或者反对申请的国内产业中，支持者的产量占支持者和反对者的总产量的50%以上的，应当认定申请是由国内产业或者代表国内产业提出，可以启动反倾销调查；但是，表示支持申请的国内生产者的产量不足国内同类产品总产量的25%的，不得启动反倾销调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在特殊情形下，外经贸部没有收到反倾销调查的书面申请，但有充分证据认为存在倾销和损害以及二者之间有因果关系的，经商国家经贸委后，可以决定立案调查。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外经贸部和国家经贸委，以下统称调查机关。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立案调查的决定，由外经贸部予以公告，并通知申请人、已知的出口经营者和进口经营者、出口国(地区)政府以及其他有利害关系的组织、个人(以下统称利害关系方)。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立案调查的决定一经公告，外经贸部应当将申请书文本提供给已知的出口经营者和出口国(地区)政府。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调查机关可以采用问卷、抽样、听证会、现场核查等方式向利害关系方了解情况，进行调查。</w:t>
      </w:r>
    </w:p>
    <w:p>
      <w:pPr>
        <w:pStyle w:val="11"/>
        <w:ind w:firstLine="616" w:firstLineChars="200"/>
        <w:rPr>
          <w:rFonts w:hint="eastAsia" w:ascii="仿宋_GB2312" w:hAnsi="仿宋_GB2312" w:eastAsia="仿宋_GB2312" w:cs="仿宋_GB2312"/>
          <w:sz w:val="32"/>
          <w:szCs w:val="32"/>
        </w:rPr>
      </w:pPr>
      <w:r>
        <w:rPr>
          <w:rFonts w:hint="eastAsia" w:ascii="仿宋_GB2312" w:hAnsi="仿宋_GB2312" w:eastAsia="仿宋_GB2312" w:cs="仿宋_GB2312"/>
          <w:spacing w:val="-6"/>
          <w:sz w:val="32"/>
          <w:szCs w:val="32"/>
        </w:rPr>
        <w:t>调查机关应当为有关利害关系方提供陈述意见和论据的机</w:t>
      </w:r>
      <w:r>
        <w:rPr>
          <w:rFonts w:hint="eastAsia" w:ascii="仿宋_GB2312" w:hAnsi="仿宋_GB2312" w:eastAsia="仿宋_GB2312" w:cs="仿宋_GB2312"/>
          <w:sz w:val="32"/>
          <w:szCs w:val="32"/>
        </w:rPr>
        <w:t>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外经贸部认为必要时，可以派出工作人员赴有关国家(地区)进行调查；但是，有关国家(地区)提出异议的除外。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调查机关进行调查时，利害关系方应当如实反映情况，提供有关资料。利害关系方不如实反映情况、提供有关资料的，或者没有在合理时间内提供必要信息的，或者以其他方式严重妨碍调查的，调查机关可以根据已经获得的事实和可获得的最佳信息作出裁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利害关系方认为其提供的资料泄露后将产生严重不利影响的，可以向调查机关申请对该资料按保密资料处理。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调查机关认为保密申请有正当理由的，应当对利害关系方提供的资料按保密资料处理，同时要求利害关系方提供一份非保密的该资料概要。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按保密资料处理的资料，未经提供资料的利害关系方同意，不得泄露。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调查机关应当允许申请人和利害关系方查阅本案有关资料；但是，属于按保密资料处理的除外。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外经贸部、国家经贸委根据调查结果，分别就倾销、损害作出初裁决定，并就二者之间的因果关系是否成立作出初裁决定，由外经贸部予以公告。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初裁决定确定倾销、损害以及二者之间的因果关系成立的，外经贸部、国家经贸委应当对倾销及倾销幅度、损害及损害程度继续进行调查，并根据调查结果分别作出终裁决定，由外经贸部予以公告。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在作出终裁决定前，应当由外经贸部将终裁决定所依据的基本事实通知所有已知的利害关系方。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反倾销调查，应当自立案调查决定公告之日起12个月内结束；特殊情况下可以延长，但延长期不得超过6个月。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有下列情形之一的，反倾销调查应当终止，并由外经贸部予以公告：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(一)申请人撤销申请的；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(二)没有足够证据证明存在倾销、损害或者二者之间有因果关系的；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(三)倾销幅度低于2%的；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(四)倾销进口产品实际或者潜在的进口量或者损害属于可忽略不计的；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(五)外经贸部和国家经贸委共同认为不适宜继续进行反倾销调查的。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来自一个或者部分国家(地区)的被调查产品有前款第(二)、(三)、(四)项所列情形之一的，针对所涉产品的反倾销调查应当终止。</w:t>
      </w:r>
    </w:p>
    <w:p>
      <w:pPr>
        <w:pStyle w:val="3"/>
        <w:bidi w:val="0"/>
        <w:rPr>
          <w:szCs w:val="32"/>
        </w:rPr>
      </w:pPr>
      <w:r>
        <w:t>第四章　反倾销措施</w:t>
      </w:r>
    </w:p>
    <w:p>
      <w:pPr>
        <w:pStyle w:val="4"/>
        <w:bidi w:val="0"/>
        <w:rPr>
          <w:szCs w:val="32"/>
        </w:rPr>
      </w:pPr>
      <w:r>
        <w:t>第一节　临时反倾销措施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初裁决定确定倾销成立，并由此对国内产业造成损害的，可以采取下列临时反倾销措施：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(一)征收临时反倾销税；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(二)要求提供现金保证金、保函或者其他形式的担保。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临时反倾销税税额或者提供的现金保证金、保函或者其他形式担保的金额，应当不超过初裁决定确定的倾销幅度。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征收临时反倾销税，由外经贸部提出建议，国务院关税税则委员会根据外经贸部的建议作出决定，由外经贸部予以公告。要求提供现金保证金、保函或者其他形式的担保，由外经贸部作出决定并予以公告。海关自公告规定实施之日起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临时反倾销措施实施的期限，自临时反倾销措施决定公告规定实施之日起，不超过4个月；在特殊情形下，可以延长至9个月。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自反倾销立案调查决定公告之日起60天内，不得采取临时反倾销措施。</w:t>
      </w:r>
    </w:p>
    <w:p>
      <w:pPr>
        <w:pStyle w:val="4"/>
        <w:bidi w:val="0"/>
        <w:rPr>
          <w:szCs w:val="32"/>
        </w:rPr>
      </w:pPr>
      <w:r>
        <w:t>第二节　价格承诺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倾销进口产品的出口经营者在反倾销调查期间，可以向外经贸部作出改变价格或者停止以倾销价格出口的价格承诺。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外经贸部可以向出口经营者提出价格</w:t>
      </w:r>
      <w:bookmarkStart w:id="0" w:name="_GoBack"/>
      <w:bookmarkEnd w:id="0"/>
      <w:r>
        <w:rPr>
          <w:rFonts w:hint="eastAsia" w:ascii="仿宋_GB2312" w:hAnsi="仿宋_GB2312" w:eastAsia="仿宋_GB2312" w:cs="仿宋_GB2312"/>
          <w:sz w:val="32"/>
          <w:szCs w:val="32"/>
        </w:rPr>
        <w:t>承诺的建议。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调查机关不得强迫出口经营者作出价格承诺。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出口经营者不作出价格承诺或者不接受价格承诺的建议的，不妨碍对反倾销案件的调查和确定。出口经营者继续倾销进口产品的，调查机关有权确定损害威胁更有可能出现。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外经贸部认为出口经营者作出的价格承诺能够接受的，经商国家经贸委后，可以决定中止或者终止反倾销调查，不采取临时反倾销措施或者征收反倾销税。中止或者终止反倾销调查的决定由外经贸部予以公告。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外经贸部不接受价格承诺的，应当向有关出口经营者说明理由。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调查机关对倾销以及由倾销造成的损害作出肯定的初裁决定前，不得寻求或者接受价格承诺。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依照本条例第三十三条第一款规定中止或者终止反倾销调查后，应出口经营者请求或者调查机关认为有必要，调查机关可以对倾销和损害继续进行调查。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根据前款调查结果，作出倾销或者损害的否定裁定的，价格承诺自动失效；作出倾销或者损害的肯定裁定的，价格承诺继续有效。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外经贸部可以要求出口经营者定期提供履行其价格承诺的有关情况、资料，并予以核实。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出口经营者违反其价格承诺的，外经贸部经商国家经贸委后，依照本条例的规定，可以立即决定恢复反倾销调查；根据可获得的最佳信息，可以决定采取临时反倾销措施，并可以对实施临时反倾销措施前90天内进口的产品追溯征收反倾销税，但违反价格承诺前进口的产品除外。</w:t>
      </w:r>
    </w:p>
    <w:p>
      <w:pPr>
        <w:pStyle w:val="4"/>
        <w:bidi w:val="0"/>
        <w:rPr>
          <w:szCs w:val="32"/>
        </w:rPr>
      </w:pPr>
      <w:r>
        <w:t>第三节　反倾销税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终裁决定确定倾销成立，并由此对国内产业造成损害的，可以征收反倾销税。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征收反倾销税，由外经贸部提出建议，国务院关税税则委员会根据外经贸部的建议作出决定，由外经贸部予以公告。海关自公告规定实施之日起执行。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反倾销税适用于终裁决定公告之日后进口的产品，但属于本条例第三十六条、第四十三条、第四十四条规定的情形除外。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反倾销税的纳税人为倾销进口产品的进口经营者。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反倾销税应当根据不同出口经营者的倾销幅度，分别确定。对未包括在审查范围内的出口经营者的倾销进口产品，需要征收反倾销税的，应当按照合理的方式确定对其适用的反倾销税。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反倾销税税额不超过终裁决定确定的倾销幅度。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终裁决定确定存在实质损害，并在此前已经采取临时反倾销措施的，反倾销税可以对已经实施临时反倾销措施的期间追溯征收。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终裁决定确定存在实质损害威胁，在先前不采取临时反倾销措施将会导致后来作出实质损害裁定的情况下已经采取临时反倾销措施的，反倾销税可以对已经实施临时反倾销措施的期间追溯征收。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终裁决定确定的反倾销税，高于已付或者应付的临时反倾销税或者为担保目的而估计的金额的，差额部分不予收取；低于已付或者应付的临时反倾销税或者为担保目的而估计的金额的，差额部分应当根据具体情况予以退还或者重新计算税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下列两种情形并存的，可以对实施临时反倾销措施之日前90天内进口的产品追溯征收反倾销税，但立案调查前进口的产品除外：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(一)倾销进口产品有对国内产业造成损害的倾销历史，或者该产品的进口经营者知道或者应当知道出口经营者实施倾销并且倾销对国内产业将造成损害的；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(二)倾销进口产品在短期内大量进口，并且可能会严重破坏即将实施的反倾销税的补救效果的。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终裁决定确定不征收反倾销税的，或者终裁决定未确定追溯征收反倾销税的，已征收的临时反倾销税、已收取的现金保证金应当予以退还，保函或者其他形式的担保应当予以解除。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倾销进口产品的进口经营者有证据证明已经缴纳的反倾销税税额超过倾销幅度的，可以向外经贸部提出退税申请；外经贸部经审查、核实并提出建议，国务院关税税则委员会根据外经贸部的建议可以作出退税决定，由海关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进口产品被征收反倾销税后，在调查期间未向中华人民共和国出口该产品的新出口经营者，能证明其与被征收反倾销税的出口经营者无关联的，可以向外经贸部申请单独确定其倾销幅度。外经贸部应当迅速进行审查并作出终裁决定。在审查期间，可以采取本条例第二十八条第一款第(二)项规定的措施，但不得对该产品征收反倾销税。</w:t>
      </w:r>
    </w:p>
    <w:p>
      <w:pPr>
        <w:pStyle w:val="3"/>
        <w:bidi w:val="0"/>
        <w:rPr>
          <w:szCs w:val="32"/>
        </w:rPr>
      </w:pPr>
      <w:r>
        <w:t>第五章　反倾销税和价格承诺的期限与复审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反倾销税的征收期限和价格承诺的履行期限不超过5年；但是，经复审确定终止征收反倾销税有可能导致倾销和损害的继续或者再度发生的，反倾销税的征收期限可以适当延长。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反倾销税生效后，外经贸部经商国家经贸委，可以在有正当理由的情况下，决定对继续征收反倾销税的必要性进行复审；也可以在经过一段合理时间，应利害关系方的请求并对利害关系方提供的相应证据进行审查后，决定对继续征收反倾销税的必要性进行复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价格承诺生效后，外经贸部可以在有正当理由的情况下，决定对继续履行价格承诺的必要性进行复审；也可以在经过一段合理时间，应利害关系方的请求并对利害关系方提供的相应证据进行审查后，决定对继续履行价格承诺的必要性进行复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根据复审结果，由外经贸部依照本条例的规定提出保留、修改或者取消反倾销税的建议，国务院关税税则委员会根据外经贸部的建议作出决定，由外经贸部予以公告；或者由外经贸部依照本条例的规定，商国家经贸委后，作出保留、修改或者取消价格承诺的决定并予以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复审程序参照本条例关于反倾销调查的有关规定执行。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复审期限自决定复审开始之日起，不超过12个月。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在复审期间，复审程序不妨碍反倾销措施的实施。</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对依照本条例第二十五条作出的终裁决定不服的，对依照本条例第四章作出的是否征收反倾销税的决定以及追溯征收、退税、对新出口经营者征税的决定不服的，或者对依照本条例第五章作出的复审决定不服的，可以依法申请行政复议，也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依照本条例作出的公告，应当载明重要的情况、事实、理由、依据、结果和结论等内容。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外经贸部、国家经贸委可以采取适当措施，防止规避反倾销措施的行为。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任何国家(地区)对中华人民共和国的出口产品采取歧视性反倾销措施的，中华人民共和国可以根据实际情况对该国家(地区)采取相应的措施。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外经贸部负责与反倾销有关的对外磋商、通知和争端解决事宜。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外经贸部、国家经贸委可以根据本条例制定有关具体实施办法。</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本条例自2002年1月1日起施行。1997年3月25日国务院发布的《中华人民共和国反倾销和反补贴条例》中关于反倾销的规定同时废止。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BB175E"/>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80</Characters>
  <Lines>69</Lines>
  <Paragraphs>19</Paragraphs>
  <TotalTime>2</TotalTime>
  <ScaleCrop>false</ScaleCrop>
  <LinksUpToDate>false</LinksUpToDate>
  <CharactersWithSpaces>82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2022-05-29T12:32:10Z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