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1"/>
        <w:jc w:val="center"/>
        <w:rPr>
          <w:rFonts w:hint="eastAsia" w:asciiTheme="majorEastAsia" w:hAnsiTheme="majorEastAsia" w:eastAsiaTheme="majorEastAsia" w:cstheme="majorEastAsia"/>
          <w:sz w:val="44"/>
          <w:szCs w:val="44"/>
        </w:rPr>
      </w:pPr>
      <w:r>
        <w:rPr>
          <w:rFonts w:hint="eastAsia" w:asciiTheme="majorEastAsia" w:hAnsiTheme="majorEastAsia" w:eastAsiaTheme="majorEastAsia" w:cstheme="majorEastAsia"/>
          <w:sz w:val="44"/>
          <w:szCs w:val="44"/>
        </w:rPr>
        <w:t>地震安全性评价管理条例</w:t>
      </w:r>
    </w:p>
    <w:p>
      <w:pPr>
        <w:pStyle w:val="11"/>
        <w:ind w:firstLine="616" w:firstLineChars="200"/>
        <w:rPr>
          <w:rFonts w:hint="eastAsia" w:ascii="楷体_GB2312" w:hAnsi="楷体_GB2312" w:eastAsia="楷体_GB2312" w:cs="楷体_GB2312"/>
          <w:spacing w:val="-6"/>
          <w:sz w:val="32"/>
          <w:szCs w:val="32"/>
        </w:rPr>
      </w:pPr>
    </w:p>
    <w:p>
      <w:pPr>
        <w:pStyle w:val="11"/>
        <w:ind w:firstLine="664" w:firstLineChars="200"/>
        <w:rPr>
          <w:rFonts w:hint="eastAsia" w:ascii="楷体_GB2312" w:hAnsi="楷体_GB2312" w:eastAsia="楷体_GB2312" w:cs="楷体_GB2312"/>
          <w:spacing w:val="0"/>
          <w:sz w:val="32"/>
          <w:szCs w:val="32"/>
        </w:rPr>
      </w:pPr>
      <w:r>
        <w:rPr>
          <w:rFonts w:hint="eastAsia" w:ascii="楷体_GB2312" w:hAnsi="楷体_GB2312" w:eastAsia="楷体_GB2312" w:cs="楷体_GB2312"/>
          <w:spacing w:val="6"/>
          <w:sz w:val="32"/>
          <w:szCs w:val="32"/>
        </w:rPr>
        <w:t>(2001年11月15日中华人民共和国国务院令第323号公布　</w:t>
      </w:r>
      <w:r>
        <w:rPr>
          <w:rFonts w:hint="eastAsia" w:ascii="楷体_GB2312" w:hAnsi="楷体_GB2312" w:eastAsia="楷体_GB2312" w:cs="楷体_GB2312"/>
          <w:sz w:val="32"/>
          <w:szCs w:val="32"/>
        </w:rPr>
        <w:t>根据2017年3月1日《国务院关于修改和废止部分行政法规的决定》修订</w:t>
      </w:r>
      <w:r>
        <w:rPr>
          <w:rFonts w:hint="eastAsia" w:ascii="楷体_GB2312" w:hAnsi="楷体_GB2312" w:eastAsia="楷体_GB2312" w:cs="楷体_GB2312"/>
          <w:spacing w:val="0"/>
          <w:sz w:val="32"/>
          <w:szCs w:val="32"/>
        </w:rPr>
        <w:t>)</w:t>
      </w:r>
    </w:p>
    <w:p>
      <w:pPr>
        <w:pStyle w:val="3"/>
        <w:bidi w:val="0"/>
      </w:pPr>
      <w:r>
        <w:t>第一章　总　　则</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第一条　</w:t>
      </w:r>
      <w:r>
        <w:rPr>
          <w:rFonts w:hint="eastAsia" w:ascii="仿宋_GB2312" w:hAnsi="仿宋_GB2312" w:eastAsia="仿宋_GB2312" w:cs="仿宋_GB2312"/>
          <w:sz w:val="32"/>
          <w:szCs w:val="32"/>
        </w:rPr>
        <w:t>为了加强对地震安全性评价的管理，防御与减轻地震灾害，保护人民生命和财产安全，根据《中华人民共和国防震减灾法》的有关规定，制定本条例。</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第二条　</w:t>
      </w:r>
      <w:r>
        <w:rPr>
          <w:rFonts w:hint="eastAsia" w:ascii="仿宋_GB2312" w:hAnsi="仿宋_GB2312" w:eastAsia="仿宋_GB2312" w:cs="仿宋_GB2312"/>
          <w:sz w:val="32"/>
          <w:szCs w:val="32"/>
        </w:rPr>
        <w:t>在中华人民共和国境内从事地震安全性评价活动，必须遵守本条例。</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第三条　</w:t>
      </w:r>
      <w:r>
        <w:rPr>
          <w:rFonts w:hint="eastAsia" w:ascii="仿宋_GB2312" w:hAnsi="仿宋_GB2312" w:eastAsia="仿宋_GB2312" w:cs="仿宋_GB2312"/>
          <w:sz w:val="32"/>
          <w:szCs w:val="32"/>
        </w:rPr>
        <w:t>新建、扩建、改建建设工程，依照《中华人民共和国防震减灾法》和本条例的规定，需要进行地震安全性评价的，必须严格执行国家地震安全性评价的技术规范，确保地震安全性评价的质量。</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第四条　</w:t>
      </w:r>
      <w:r>
        <w:rPr>
          <w:rFonts w:hint="eastAsia" w:ascii="仿宋_GB2312" w:hAnsi="仿宋_GB2312" w:eastAsia="仿宋_GB2312" w:cs="仿宋_GB2312"/>
          <w:sz w:val="32"/>
          <w:szCs w:val="32"/>
        </w:rPr>
        <w:t>国务院地震工作主管部门负责全国的地震安全性评价的监督管理工作。</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县级以上地方人民政府负责管理地震工作的部门或者机构负责本行政区域内的地震安全性评价的监督管理工作。</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第五条　</w:t>
      </w:r>
      <w:r>
        <w:rPr>
          <w:rFonts w:hint="eastAsia" w:ascii="仿宋_GB2312" w:hAnsi="仿宋_GB2312" w:eastAsia="仿宋_GB2312" w:cs="仿宋_GB2312"/>
          <w:sz w:val="32"/>
          <w:szCs w:val="32"/>
        </w:rPr>
        <w:t>国家鼓励、扶持有关地震安全性评价的科技研究，推广应用先进的科技成果，提高地震安全性评价的科技水平。</w:t>
      </w:r>
    </w:p>
    <w:p>
      <w:pPr>
        <w:pStyle w:val="3"/>
        <w:bidi w:val="0"/>
        <w:rPr>
          <w:szCs w:val="32"/>
        </w:rPr>
      </w:pPr>
      <w:r>
        <w:t>第二章　地震安全性评价单位的资质</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第六条　</w:t>
      </w:r>
      <w:r>
        <w:rPr>
          <w:rFonts w:hint="eastAsia" w:ascii="仿宋_GB2312" w:hAnsi="仿宋_GB2312" w:eastAsia="仿宋_GB2312" w:cs="仿宋_GB2312"/>
          <w:sz w:val="32"/>
          <w:szCs w:val="32"/>
        </w:rPr>
        <w:t>国家对从事地震安全性评价的单位实行资质管理制度。</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从事地震安全性评价的单位必须取得地震安全性评价资质证书，方可进行地震安全性评价。</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第七条　</w:t>
      </w:r>
      <w:r>
        <w:rPr>
          <w:rFonts w:hint="eastAsia" w:ascii="仿宋_GB2312" w:hAnsi="仿宋_GB2312" w:eastAsia="仿宋_GB2312" w:cs="仿宋_GB2312"/>
          <w:sz w:val="32"/>
          <w:szCs w:val="32"/>
        </w:rPr>
        <w:t>从事地震安全性评价的单位具备下列条件，方可向国务院地震工作主管部门或者省、自治区、直辖市人民政府负责管理地震工作的部门或者机构申请领取地震安全性评价资质证书：</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(一)有与从事地震安全性评价相适应的地震学、地震地质学、工程地震学方面的专业技术人员；</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(二)有从事地震安全性评价的技术条件。</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第八条　</w:t>
      </w:r>
      <w:r>
        <w:rPr>
          <w:rFonts w:hint="eastAsia" w:ascii="仿宋_GB2312" w:hAnsi="仿宋_GB2312" w:eastAsia="仿宋_GB2312" w:cs="仿宋_GB2312"/>
          <w:sz w:val="32"/>
          <w:szCs w:val="32"/>
        </w:rPr>
        <w:t>国务院地震工作主管部门或者省、自治区、直辖市人民政府负责管理地震工作的部门或者机构，应当自收到地震安全性评价资质申请书之日起30日内作出审查决定。对符合条件的，颁发地震安全性评价资质证书；对不符合条件的，应当及时书面通知申请单位并说明理由。</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第九条　</w:t>
      </w:r>
      <w:r>
        <w:rPr>
          <w:rFonts w:hint="eastAsia" w:ascii="仿宋_GB2312" w:hAnsi="仿宋_GB2312" w:eastAsia="仿宋_GB2312" w:cs="仿宋_GB2312"/>
          <w:sz w:val="32"/>
          <w:szCs w:val="32"/>
        </w:rPr>
        <w:t>地震安全性评价单位应当在其资质许可的范围内承揽地震安全性评价业务。</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禁止地震安全性评价单位超越其资质许可的范围或者以其他地震安全性评价单位的名义承揽地震安全性评价业务。禁止地震安全性评价单位允许其他单位以本单位的名义承揽地震安全性评价业务。</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第十条　</w:t>
      </w:r>
      <w:r>
        <w:rPr>
          <w:rFonts w:hint="eastAsia" w:ascii="仿宋_GB2312" w:hAnsi="仿宋_GB2312" w:eastAsia="仿宋_GB2312" w:cs="仿宋_GB2312"/>
          <w:sz w:val="32"/>
          <w:szCs w:val="32"/>
        </w:rPr>
        <w:t>地震安全性评价资质证书的式样，由国务院地震工作主管部门统一规定。</w:t>
      </w:r>
    </w:p>
    <w:p>
      <w:pPr>
        <w:pStyle w:val="3"/>
        <w:bidi w:val="0"/>
        <w:rPr>
          <w:szCs w:val="32"/>
        </w:rPr>
      </w:pPr>
      <w:r>
        <w:t>第三章　地震安全性评价的范围和要求</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第十一条　</w:t>
      </w:r>
      <w:r>
        <w:rPr>
          <w:rFonts w:hint="eastAsia" w:ascii="仿宋_GB2312" w:hAnsi="仿宋_GB2312" w:eastAsia="仿宋_GB2312" w:cs="仿宋_GB2312"/>
          <w:sz w:val="32"/>
          <w:szCs w:val="32"/>
        </w:rPr>
        <w:t>下列建设工程必须进行地震安全性评价：</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(一)国家重大建设工程；</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受地震破坏后可能引发水灾、火灾、爆炸、剧毒或者强腐蚀性物质大量泄露或者其他严重次生灾害的建设工程，包括水库大坝、堤防和贮油、贮气、贮存易燃易爆、剧毒或者强腐蚀性物质的设施以及其他可能发生严重次生灾害的建设工程；</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(三)受地震破坏后可能引发放射性污染的核电站和核设施建设工程；</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(四)省、自治区、直辖市认为对本行政区域有重大价值或者有重大影响的其他建设工程。</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第十二条　</w:t>
      </w:r>
      <w:r>
        <w:rPr>
          <w:rFonts w:hint="eastAsia" w:ascii="仿宋_GB2312" w:hAnsi="仿宋_GB2312" w:eastAsia="仿宋_GB2312" w:cs="仿宋_GB2312"/>
          <w:sz w:val="32"/>
          <w:szCs w:val="32"/>
        </w:rPr>
        <w:t>地震安全性评价单位对建设工程进行地震安全性评价后，应当编制该建设工程的地震安全性评价报告。</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地震安全性评价报告应当包括下列内容：</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(一)工程概况和地震安全性评价的技术要求；</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(二)地震活动环境评价；</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(三)地震地质构造评价；</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(四)设防烈度或者设计地震动参数；</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(五)地震地质灾害评价；</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(六)其他有关技术资料。</w:t>
      </w:r>
    </w:p>
    <w:p>
      <w:pPr>
        <w:pStyle w:val="3"/>
        <w:bidi w:val="0"/>
        <w:rPr>
          <w:szCs w:val="32"/>
        </w:rPr>
      </w:pPr>
      <w:r>
        <w:t>第四章　地震安全性评价报告的审定</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第十三条　</w:t>
      </w:r>
      <w:r>
        <w:rPr>
          <w:rFonts w:hint="eastAsia" w:ascii="仿宋_GB2312" w:hAnsi="仿宋_GB2312" w:eastAsia="仿宋_GB2312" w:cs="仿宋_GB2312"/>
          <w:sz w:val="32"/>
          <w:szCs w:val="32"/>
        </w:rPr>
        <w:t>国务院地震工作主管部门负责下列地震安全性评价报告的审定：</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(一)国家重大建设工程；</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(二)跨省、自治区、直辖市行政区域的建设工程；</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(三)核电站和核设施建设工程。</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省、自治区、直辖市人民政府负责管理地震工作的部门或者机构负责除前款规定以外的建设工程地震安全性评价报告的审定。</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第十四条　</w:t>
      </w:r>
      <w:r>
        <w:rPr>
          <w:rFonts w:hint="eastAsia" w:ascii="仿宋_GB2312" w:hAnsi="仿宋_GB2312" w:eastAsia="仿宋_GB2312" w:cs="仿宋_GB2312"/>
          <w:sz w:val="32"/>
          <w:szCs w:val="32"/>
        </w:rPr>
        <w:t>国务院地震工作主管部门和省、自治区、直辖市人民政府负责管理地震工作的部门或者机构，应当自收到地震安全性评价报告之日起15日内进行审定，确定建设工程的抗震设防要求。</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第十五条　</w:t>
      </w:r>
      <w:r>
        <w:rPr>
          <w:rFonts w:hint="eastAsia" w:ascii="仿宋_GB2312" w:hAnsi="仿宋_GB2312" w:eastAsia="仿宋_GB2312" w:cs="仿宋_GB2312"/>
          <w:sz w:val="32"/>
          <w:szCs w:val="32"/>
        </w:rPr>
        <w:t>国务院地震工作主管部门或者省、自治区、直辖市人民政府负责管理地震工作的部门或者机构，在确定建设工程抗震设防要求后，应当以书面形式通知建设单位，并告知建设工程所在地的市、县人民政府负责管理地震工作的部门或者机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省、自治区、直辖市人民政府负责管理地震工作的部门或者机构应当将其确定的建设工程抗震设防要求报国务院地震工作主管部门备案。</w:t>
      </w:r>
    </w:p>
    <w:p>
      <w:pPr>
        <w:pStyle w:val="3"/>
        <w:bidi w:val="0"/>
        <w:rPr>
          <w:szCs w:val="32"/>
        </w:rPr>
      </w:pPr>
      <w:r>
        <w:t>第五章　监督管理</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第十六条　</w:t>
      </w:r>
      <w:r>
        <w:rPr>
          <w:rFonts w:hint="eastAsia" w:ascii="仿宋_GB2312" w:hAnsi="仿宋_GB2312" w:eastAsia="仿宋_GB2312" w:cs="仿宋_GB2312"/>
          <w:sz w:val="32"/>
          <w:szCs w:val="32"/>
        </w:rPr>
        <w:t>县级以上人民政府负责项目审批的部门，应当将抗震设防要求纳入建设工程可行性研究报告的审查内容。对可行性研究报告中未包含抗震设防要求的项目，不予批准。</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第十七条　</w:t>
      </w:r>
      <w:r>
        <w:rPr>
          <w:rFonts w:hint="eastAsia" w:ascii="仿宋_GB2312" w:hAnsi="仿宋_GB2312" w:eastAsia="仿宋_GB2312" w:cs="仿宋_GB2312"/>
          <w:sz w:val="32"/>
          <w:szCs w:val="32"/>
        </w:rPr>
        <w:t>国务院建设行政主管部门和国务院铁路、交通、民用航空、水利和其他有关专业主管部门制定的抗震设计规范，应当明确规定按照抗震设防要求进行抗震设计的方法和措施。</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第十八条　</w:t>
      </w:r>
      <w:r>
        <w:rPr>
          <w:rFonts w:hint="eastAsia" w:ascii="仿宋_GB2312" w:hAnsi="仿宋_GB2312" w:eastAsia="仿宋_GB2312" w:cs="仿宋_GB2312"/>
          <w:sz w:val="32"/>
          <w:szCs w:val="32"/>
        </w:rPr>
        <w:t>建设工程设计单位应当按照抗震设防要求和抗震设计规范，进行抗震设计。</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第十九条　</w:t>
      </w:r>
      <w:r>
        <w:rPr>
          <w:rFonts w:hint="eastAsia" w:ascii="仿宋_GB2312" w:hAnsi="仿宋_GB2312" w:eastAsia="仿宋_GB2312" w:cs="仿宋_GB2312"/>
          <w:sz w:val="32"/>
          <w:szCs w:val="32"/>
        </w:rPr>
        <w:t>国务院地震工作主管部门和县级以上地方人民政府负责管理地震工作的部门或者机构，应当会同有关专业主管部门，加强对地震安全性评价工作的监督检查。</w:t>
      </w:r>
    </w:p>
    <w:p>
      <w:pPr>
        <w:pStyle w:val="3"/>
        <w:bidi w:val="0"/>
        <w:rPr>
          <w:szCs w:val="32"/>
        </w:rPr>
      </w:pPr>
      <w:r>
        <w:t>第六章　罚　　则</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第二十条　</w:t>
      </w:r>
      <w:r>
        <w:rPr>
          <w:rFonts w:hint="eastAsia" w:ascii="仿宋_GB2312" w:hAnsi="仿宋_GB2312" w:eastAsia="仿宋_GB2312" w:cs="仿宋_GB2312"/>
          <w:sz w:val="32"/>
          <w:szCs w:val="32"/>
        </w:rPr>
        <w:t>违反本条例的规定，未取得地震安全性评价资质证书的单位承揽地震安全性评价业务的，由国务院地震工作主管部门或者县级以上地方人民政府负责管理地震工作的部门或者机构依据职权，责令改正，没收违法所得，并处1万元以上5万元以下的罚款。</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第二十一条　</w:t>
      </w:r>
      <w:r>
        <w:rPr>
          <w:rFonts w:hint="eastAsia" w:ascii="仿宋_GB2312" w:hAnsi="仿宋_GB2312" w:eastAsia="仿宋_GB2312" w:cs="仿宋_GB2312"/>
          <w:sz w:val="32"/>
          <w:szCs w:val="32"/>
        </w:rPr>
        <w:t>违反本条例的规定，地震安全性评价单位有下列行为之一的，由国务院地震工作主管部门或者县级以上地方人民政府负责管理地震工作的部门或者机构依据职权，责令改正，没收违法所得，并处1万元以上5万元以下的罚款；情节严重的，由颁发资质证书的部门或者机构吊销资质证书：</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(一)超越其资质许可的范围承揽地震安全性评价业务的；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(二)以其他地震安全性评价单位的名义承揽地震安全性评价业务的；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(三)允许其他单位以本单位名义承揽地震安全性评价业务的。</w:t>
      </w:r>
      <w:bookmarkStart w:id="0" w:name="_GoBack"/>
      <w:bookmarkEnd w:id="0"/>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第二十二条　</w:t>
      </w:r>
      <w:r>
        <w:rPr>
          <w:rFonts w:hint="eastAsia" w:ascii="仿宋_GB2312" w:hAnsi="仿宋_GB2312" w:eastAsia="仿宋_GB2312" w:cs="仿宋_GB2312"/>
          <w:sz w:val="32"/>
          <w:szCs w:val="32"/>
        </w:rPr>
        <w:t>违反本条例的规定，国务院地震工作主管部门或者省、自治区、直辖市人民政府负责管理地震工作的部门或者机构向不符合条件的单位颁发地震安全性评价资质证书和审定地震安全性评价报告，国务院地震工作主管部门或者县级以上地方人民政府负责管理地震工作的部门或者机构不履行监督管理职责，或者发现违法行为不予查处，致使公共财产、国家和人民利益遭受重大损失的，依法追究有关责任人的刑事责任；没有造成严重后果，尚不构成犯罪的，对部门或者机构负有责任的主管人员和其他直接责任人员给予降级或者撤职的行政处分。</w:t>
      </w:r>
    </w:p>
    <w:p>
      <w:pPr>
        <w:pStyle w:val="3"/>
        <w:bidi w:val="0"/>
        <w:rPr>
          <w:szCs w:val="32"/>
        </w:rPr>
      </w:pPr>
      <w:r>
        <w:t>第七章　附　　则</w:t>
      </w:r>
    </w:p>
    <w:p>
      <w:pPr>
        <w:pStyle w:val="11"/>
        <w:ind w:firstLine="640" w:firstLineChars="200"/>
        <w:rPr>
          <w:rFonts w:hint="eastAsia" w:ascii="楷体_GB2312" w:hAnsi="楷体_GB2312" w:eastAsia="楷体_GB2312" w:cs="楷体_GB2312"/>
          <w:spacing w:val="0"/>
          <w:sz w:val="32"/>
          <w:szCs w:val="32"/>
          <w:lang w:val="en-US" w:eastAsia="zh-CN"/>
        </w:rPr>
      </w:pPr>
      <w:r>
        <w:rPr>
          <w:rFonts w:hint="eastAsia" w:ascii="方正黑体_GBK" w:hAnsi="方正黑体_GBK" w:eastAsia="方正黑体_GBK" w:cs="方正黑体_GBK"/>
          <w:sz w:val="32"/>
          <w:szCs w:val="32"/>
        </w:rPr>
        <w:t>第二十三条　</w:t>
      </w:r>
      <w:r>
        <w:rPr>
          <w:rFonts w:hint="eastAsia" w:ascii="仿宋_GB2312" w:hAnsi="仿宋_GB2312" w:eastAsia="仿宋_GB2312" w:cs="仿宋_GB2312"/>
          <w:sz w:val="32"/>
          <w:szCs w:val="32"/>
        </w:rPr>
        <w:t>本条例自2002年1月1日起施行。</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pPr>
    <w:r>
      <w:pict>
        <v:shape id="文本框 7" o:spid="_x0000_s4097"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path/>
          <v:fill on="f" focussize="0,0"/>
          <v:stroke on="f" joinstyle="miter"/>
          <v:imagedata o:title=""/>
          <o:lock v:ext="edit"/>
          <v:textbox inset="0mm,0mm,0mm,0mm" style="mso-fit-shape-to-text:t;">
            <w:txbxContent>
              <w:p>
                <w:pPr>
                  <w:pStyle w:val="13"/>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- 22 -</w:t>
                </w:r>
                <w:r>
                  <w:rPr>
                    <w:rFonts w:hint="eastAsia"/>
                    <w:sz w:val="24"/>
                  </w:rPr>
                  <w:fldChar w:fldCharType="end"/>
                </w:r>
              </w:p>
            </w:txbxContent>
          </v:textbox>
        </v:shape>
      </w:pic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hideSpellingErrors/>
  <w:hideGrammaticalErrors/>
  <w:documentProtection w:enforcement="0"/>
  <w:defaultTabStop w:val="420"/>
  <w:drawingGridVerticalSpacing w:val="156"/>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OTk2NmVkYjNiZGQzMjI3MDg4NzEwNTdjZDg4NjI3NjY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67B12"/>
    <w:rsid w:val="001B30ED"/>
    <w:rsid w:val="001D2E61"/>
    <w:rsid w:val="001E555F"/>
    <w:rsid w:val="002232B1"/>
    <w:rsid w:val="002262E9"/>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14DF6"/>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328D"/>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62793"/>
    <w:rsid w:val="00F90210"/>
    <w:rsid w:val="00FA2E60"/>
    <w:rsid w:val="00FA45FB"/>
    <w:rsid w:val="00FB0D0A"/>
    <w:rsid w:val="00FB4416"/>
    <w:rsid w:val="00FB783C"/>
    <w:rsid w:val="00FD082C"/>
    <w:rsid w:val="00FD7678"/>
    <w:rsid w:val="00FD7765"/>
    <w:rsid w:val="00FF0C8C"/>
    <w:rsid w:val="012B0674"/>
    <w:rsid w:val="013332BA"/>
    <w:rsid w:val="013B6008"/>
    <w:rsid w:val="0152181F"/>
    <w:rsid w:val="015D60FA"/>
    <w:rsid w:val="019F0A04"/>
    <w:rsid w:val="01AB304A"/>
    <w:rsid w:val="01B023D3"/>
    <w:rsid w:val="01CF6706"/>
    <w:rsid w:val="02162413"/>
    <w:rsid w:val="026D2287"/>
    <w:rsid w:val="02982C5B"/>
    <w:rsid w:val="029A493F"/>
    <w:rsid w:val="02B836F8"/>
    <w:rsid w:val="02C214A5"/>
    <w:rsid w:val="02D3568D"/>
    <w:rsid w:val="03224E11"/>
    <w:rsid w:val="03356D16"/>
    <w:rsid w:val="03357A50"/>
    <w:rsid w:val="03895069"/>
    <w:rsid w:val="03985ADA"/>
    <w:rsid w:val="039F0CBD"/>
    <w:rsid w:val="03B14F7A"/>
    <w:rsid w:val="03C9760A"/>
    <w:rsid w:val="03CF0BA3"/>
    <w:rsid w:val="03F062C9"/>
    <w:rsid w:val="0409114E"/>
    <w:rsid w:val="040942DE"/>
    <w:rsid w:val="04401145"/>
    <w:rsid w:val="048674DB"/>
    <w:rsid w:val="048C79D9"/>
    <w:rsid w:val="04BF1AB7"/>
    <w:rsid w:val="04C76CE9"/>
    <w:rsid w:val="05121410"/>
    <w:rsid w:val="051529ED"/>
    <w:rsid w:val="05220095"/>
    <w:rsid w:val="054436B5"/>
    <w:rsid w:val="057556E9"/>
    <w:rsid w:val="058213F7"/>
    <w:rsid w:val="05C7396F"/>
    <w:rsid w:val="05DE7F94"/>
    <w:rsid w:val="05F71982"/>
    <w:rsid w:val="06083039"/>
    <w:rsid w:val="066340B0"/>
    <w:rsid w:val="069543A3"/>
    <w:rsid w:val="06A0228E"/>
    <w:rsid w:val="06D97D74"/>
    <w:rsid w:val="06E72AA9"/>
    <w:rsid w:val="06EA2C17"/>
    <w:rsid w:val="07380815"/>
    <w:rsid w:val="07405EF4"/>
    <w:rsid w:val="0788080A"/>
    <w:rsid w:val="07A12BB9"/>
    <w:rsid w:val="07E71367"/>
    <w:rsid w:val="087B0178"/>
    <w:rsid w:val="08881B4E"/>
    <w:rsid w:val="088A1948"/>
    <w:rsid w:val="089C3067"/>
    <w:rsid w:val="08BC05A4"/>
    <w:rsid w:val="08FF0C17"/>
    <w:rsid w:val="094845F0"/>
    <w:rsid w:val="095E7809"/>
    <w:rsid w:val="0963250F"/>
    <w:rsid w:val="09723D9C"/>
    <w:rsid w:val="097F7BAD"/>
    <w:rsid w:val="09954D05"/>
    <w:rsid w:val="09B60066"/>
    <w:rsid w:val="09E20D00"/>
    <w:rsid w:val="0A6920EC"/>
    <w:rsid w:val="0A8C2526"/>
    <w:rsid w:val="0AE962F4"/>
    <w:rsid w:val="0AEB2A0D"/>
    <w:rsid w:val="0AFD3FCA"/>
    <w:rsid w:val="0B1D5B42"/>
    <w:rsid w:val="0B3B6009"/>
    <w:rsid w:val="0B3D0578"/>
    <w:rsid w:val="0B97014A"/>
    <w:rsid w:val="0BAC424B"/>
    <w:rsid w:val="0C1E058F"/>
    <w:rsid w:val="0C255D01"/>
    <w:rsid w:val="0C297D97"/>
    <w:rsid w:val="0C5B6A66"/>
    <w:rsid w:val="0C9112DB"/>
    <w:rsid w:val="0CB33D84"/>
    <w:rsid w:val="0D1B4D2F"/>
    <w:rsid w:val="0D3C4224"/>
    <w:rsid w:val="0D433E68"/>
    <w:rsid w:val="0D610029"/>
    <w:rsid w:val="0D854598"/>
    <w:rsid w:val="0D88679D"/>
    <w:rsid w:val="0DFE10B9"/>
    <w:rsid w:val="0E6A2534"/>
    <w:rsid w:val="0EAA5CA9"/>
    <w:rsid w:val="0EBE2E9F"/>
    <w:rsid w:val="0ECE1117"/>
    <w:rsid w:val="0FA71237"/>
    <w:rsid w:val="0FE04659"/>
    <w:rsid w:val="1043549E"/>
    <w:rsid w:val="104A251D"/>
    <w:rsid w:val="107A4DEE"/>
    <w:rsid w:val="10A47D69"/>
    <w:rsid w:val="10B07F3F"/>
    <w:rsid w:val="10CC2C63"/>
    <w:rsid w:val="11366EEC"/>
    <w:rsid w:val="11E84D8F"/>
    <w:rsid w:val="11EB32E3"/>
    <w:rsid w:val="12146020"/>
    <w:rsid w:val="127C590E"/>
    <w:rsid w:val="127E5191"/>
    <w:rsid w:val="12B945BB"/>
    <w:rsid w:val="12C10B30"/>
    <w:rsid w:val="12F06217"/>
    <w:rsid w:val="134A1994"/>
    <w:rsid w:val="135777EC"/>
    <w:rsid w:val="136642BB"/>
    <w:rsid w:val="13B95D9B"/>
    <w:rsid w:val="142327B5"/>
    <w:rsid w:val="14346C4D"/>
    <w:rsid w:val="14416FC6"/>
    <w:rsid w:val="14484CDF"/>
    <w:rsid w:val="155E2CB3"/>
    <w:rsid w:val="157124FD"/>
    <w:rsid w:val="159960F9"/>
    <w:rsid w:val="15AD7B14"/>
    <w:rsid w:val="15B17054"/>
    <w:rsid w:val="160A20C3"/>
    <w:rsid w:val="16173655"/>
    <w:rsid w:val="16423E0E"/>
    <w:rsid w:val="165D147B"/>
    <w:rsid w:val="168C1C4E"/>
    <w:rsid w:val="16904CDD"/>
    <w:rsid w:val="16CF3BC4"/>
    <w:rsid w:val="16E85B46"/>
    <w:rsid w:val="174517D7"/>
    <w:rsid w:val="179A3E76"/>
    <w:rsid w:val="182153AA"/>
    <w:rsid w:val="18413C16"/>
    <w:rsid w:val="18452D92"/>
    <w:rsid w:val="18522905"/>
    <w:rsid w:val="18971E78"/>
    <w:rsid w:val="18B43502"/>
    <w:rsid w:val="18C776B0"/>
    <w:rsid w:val="18D31A30"/>
    <w:rsid w:val="198A0A54"/>
    <w:rsid w:val="19932843"/>
    <w:rsid w:val="19DB6C33"/>
    <w:rsid w:val="19DD44F3"/>
    <w:rsid w:val="1A082CED"/>
    <w:rsid w:val="1A104113"/>
    <w:rsid w:val="1A3209E2"/>
    <w:rsid w:val="1A6A0798"/>
    <w:rsid w:val="1A8E3AF5"/>
    <w:rsid w:val="1AB231F7"/>
    <w:rsid w:val="1ABC528A"/>
    <w:rsid w:val="1AC13CB4"/>
    <w:rsid w:val="1B2039C2"/>
    <w:rsid w:val="1B256F50"/>
    <w:rsid w:val="1B4D11BC"/>
    <w:rsid w:val="1BAF2172"/>
    <w:rsid w:val="1BB030C6"/>
    <w:rsid w:val="1C411CE6"/>
    <w:rsid w:val="1C6F6A7C"/>
    <w:rsid w:val="1C71182F"/>
    <w:rsid w:val="1C886852"/>
    <w:rsid w:val="1C9212F7"/>
    <w:rsid w:val="1CD43224"/>
    <w:rsid w:val="1D1A78F5"/>
    <w:rsid w:val="1D7E4D7C"/>
    <w:rsid w:val="1D89628A"/>
    <w:rsid w:val="1DC07E2F"/>
    <w:rsid w:val="1DE31DD5"/>
    <w:rsid w:val="1DEC3278"/>
    <w:rsid w:val="1DF16766"/>
    <w:rsid w:val="1E07197C"/>
    <w:rsid w:val="1E2B2232"/>
    <w:rsid w:val="1E4C028F"/>
    <w:rsid w:val="1EBB64A2"/>
    <w:rsid w:val="1EFF6455"/>
    <w:rsid w:val="1F501AAA"/>
    <w:rsid w:val="1F5E6FA0"/>
    <w:rsid w:val="1F850CB0"/>
    <w:rsid w:val="1FA75BB5"/>
    <w:rsid w:val="1FE16FBA"/>
    <w:rsid w:val="1FF628F6"/>
    <w:rsid w:val="1FFE59F4"/>
    <w:rsid w:val="1FFF44A7"/>
    <w:rsid w:val="206846D2"/>
    <w:rsid w:val="208F14A3"/>
    <w:rsid w:val="2096095A"/>
    <w:rsid w:val="20A8222C"/>
    <w:rsid w:val="20D86240"/>
    <w:rsid w:val="21351BF6"/>
    <w:rsid w:val="213E1961"/>
    <w:rsid w:val="21CB6604"/>
    <w:rsid w:val="21CE0F2E"/>
    <w:rsid w:val="221D0BEA"/>
    <w:rsid w:val="22475AC6"/>
    <w:rsid w:val="22D24029"/>
    <w:rsid w:val="22DA3F2A"/>
    <w:rsid w:val="22DD4281"/>
    <w:rsid w:val="22F24AD5"/>
    <w:rsid w:val="232040C6"/>
    <w:rsid w:val="23341BEE"/>
    <w:rsid w:val="23423DA1"/>
    <w:rsid w:val="23616034"/>
    <w:rsid w:val="244B6760"/>
    <w:rsid w:val="24646FED"/>
    <w:rsid w:val="247B27CE"/>
    <w:rsid w:val="24C55144"/>
    <w:rsid w:val="24FA302F"/>
    <w:rsid w:val="253620CC"/>
    <w:rsid w:val="25636DDB"/>
    <w:rsid w:val="25690A08"/>
    <w:rsid w:val="25981EEB"/>
    <w:rsid w:val="25BF3D61"/>
    <w:rsid w:val="25F044FF"/>
    <w:rsid w:val="26076F91"/>
    <w:rsid w:val="26282719"/>
    <w:rsid w:val="265A74CD"/>
    <w:rsid w:val="266D43E5"/>
    <w:rsid w:val="267560A3"/>
    <w:rsid w:val="26A760E3"/>
    <w:rsid w:val="26BD5EFD"/>
    <w:rsid w:val="26C10A61"/>
    <w:rsid w:val="26CA1A3A"/>
    <w:rsid w:val="26D80C65"/>
    <w:rsid w:val="270C127F"/>
    <w:rsid w:val="271E2FCD"/>
    <w:rsid w:val="27680A3B"/>
    <w:rsid w:val="278A0CBD"/>
    <w:rsid w:val="278B6531"/>
    <w:rsid w:val="278E1995"/>
    <w:rsid w:val="27A96F19"/>
    <w:rsid w:val="27BE64AF"/>
    <w:rsid w:val="2834230D"/>
    <w:rsid w:val="283E23EF"/>
    <w:rsid w:val="284E0194"/>
    <w:rsid w:val="287A18EA"/>
    <w:rsid w:val="28F06262"/>
    <w:rsid w:val="28F8723D"/>
    <w:rsid w:val="293C51A4"/>
    <w:rsid w:val="29480445"/>
    <w:rsid w:val="29824406"/>
    <w:rsid w:val="299C79B4"/>
    <w:rsid w:val="29CD22A0"/>
    <w:rsid w:val="2A8D0D45"/>
    <w:rsid w:val="2AD91FC7"/>
    <w:rsid w:val="2AE81503"/>
    <w:rsid w:val="2B01664D"/>
    <w:rsid w:val="2B1F10BE"/>
    <w:rsid w:val="2B4F432A"/>
    <w:rsid w:val="2B6968CF"/>
    <w:rsid w:val="2BEC1432"/>
    <w:rsid w:val="2C016A16"/>
    <w:rsid w:val="2C0E29D0"/>
    <w:rsid w:val="2C382E26"/>
    <w:rsid w:val="2C7458A4"/>
    <w:rsid w:val="2C9D0D82"/>
    <w:rsid w:val="2D0B2DBD"/>
    <w:rsid w:val="2D444240"/>
    <w:rsid w:val="2D644059"/>
    <w:rsid w:val="2DBE0D65"/>
    <w:rsid w:val="2DDE6B1E"/>
    <w:rsid w:val="2E1B43B4"/>
    <w:rsid w:val="2E5F5866"/>
    <w:rsid w:val="2ED32E01"/>
    <w:rsid w:val="2F435B16"/>
    <w:rsid w:val="2FF20DF5"/>
    <w:rsid w:val="30824D76"/>
    <w:rsid w:val="30E366F7"/>
    <w:rsid w:val="313E5963"/>
    <w:rsid w:val="318138A8"/>
    <w:rsid w:val="318215B1"/>
    <w:rsid w:val="31F05688"/>
    <w:rsid w:val="31F575B2"/>
    <w:rsid w:val="320E2B0A"/>
    <w:rsid w:val="32252208"/>
    <w:rsid w:val="3242780E"/>
    <w:rsid w:val="324E5F48"/>
    <w:rsid w:val="325E7BE3"/>
    <w:rsid w:val="32843905"/>
    <w:rsid w:val="32A9159C"/>
    <w:rsid w:val="32BD5B90"/>
    <w:rsid w:val="32C33630"/>
    <w:rsid w:val="32E34D98"/>
    <w:rsid w:val="330624E0"/>
    <w:rsid w:val="330C4F96"/>
    <w:rsid w:val="330D4027"/>
    <w:rsid w:val="331525BD"/>
    <w:rsid w:val="3330356C"/>
    <w:rsid w:val="33872311"/>
    <w:rsid w:val="33CF5811"/>
    <w:rsid w:val="34031BBE"/>
    <w:rsid w:val="342D6C5D"/>
    <w:rsid w:val="34582782"/>
    <w:rsid w:val="348F4336"/>
    <w:rsid w:val="349C60FB"/>
    <w:rsid w:val="34A57933"/>
    <w:rsid w:val="34B24EB5"/>
    <w:rsid w:val="34C9780A"/>
    <w:rsid w:val="34DC1FAB"/>
    <w:rsid w:val="34DE7BA6"/>
    <w:rsid w:val="34E116C0"/>
    <w:rsid w:val="35095248"/>
    <w:rsid w:val="35460A16"/>
    <w:rsid w:val="354D02D3"/>
    <w:rsid w:val="355560D1"/>
    <w:rsid w:val="357A396F"/>
    <w:rsid w:val="35AE4DD0"/>
    <w:rsid w:val="35E26969"/>
    <w:rsid w:val="364F705A"/>
    <w:rsid w:val="3672433D"/>
    <w:rsid w:val="3699360A"/>
    <w:rsid w:val="36B64DD9"/>
    <w:rsid w:val="36EB04F2"/>
    <w:rsid w:val="37243551"/>
    <w:rsid w:val="374457C8"/>
    <w:rsid w:val="37A61CD2"/>
    <w:rsid w:val="37BE1588"/>
    <w:rsid w:val="37D83957"/>
    <w:rsid w:val="37EB78B4"/>
    <w:rsid w:val="386D21AD"/>
    <w:rsid w:val="387E7233"/>
    <w:rsid w:val="38851898"/>
    <w:rsid w:val="388D0D28"/>
    <w:rsid w:val="38C15A39"/>
    <w:rsid w:val="38EC737A"/>
    <w:rsid w:val="38F14808"/>
    <w:rsid w:val="39926290"/>
    <w:rsid w:val="39A607E8"/>
    <w:rsid w:val="39AF4CCA"/>
    <w:rsid w:val="39C71577"/>
    <w:rsid w:val="39DE64F8"/>
    <w:rsid w:val="3A0640D3"/>
    <w:rsid w:val="3A7915E5"/>
    <w:rsid w:val="3AF546A0"/>
    <w:rsid w:val="3AFB4211"/>
    <w:rsid w:val="3B1265AF"/>
    <w:rsid w:val="3B596812"/>
    <w:rsid w:val="3B716D70"/>
    <w:rsid w:val="3B8D00E1"/>
    <w:rsid w:val="3BA0652C"/>
    <w:rsid w:val="3BA34EA9"/>
    <w:rsid w:val="3C091D25"/>
    <w:rsid w:val="3C194E23"/>
    <w:rsid w:val="3C1976E8"/>
    <w:rsid w:val="3C372D12"/>
    <w:rsid w:val="3CA23060"/>
    <w:rsid w:val="3CAF6F9F"/>
    <w:rsid w:val="3CDF39C7"/>
    <w:rsid w:val="3CF00FD9"/>
    <w:rsid w:val="3D061E7A"/>
    <w:rsid w:val="3D1F6E72"/>
    <w:rsid w:val="3D6B22C9"/>
    <w:rsid w:val="3D762392"/>
    <w:rsid w:val="3DFC6899"/>
    <w:rsid w:val="3E166350"/>
    <w:rsid w:val="3E3675FB"/>
    <w:rsid w:val="3E3A02EB"/>
    <w:rsid w:val="3E851072"/>
    <w:rsid w:val="3E926100"/>
    <w:rsid w:val="3E9623DC"/>
    <w:rsid w:val="3EB02B16"/>
    <w:rsid w:val="3EEC1919"/>
    <w:rsid w:val="3F167840"/>
    <w:rsid w:val="3F2F1CF1"/>
    <w:rsid w:val="3F800236"/>
    <w:rsid w:val="3F8C783C"/>
    <w:rsid w:val="3FDE45BA"/>
    <w:rsid w:val="3FEA25A8"/>
    <w:rsid w:val="3FFC61BF"/>
    <w:rsid w:val="400D315D"/>
    <w:rsid w:val="40226A0B"/>
    <w:rsid w:val="40281164"/>
    <w:rsid w:val="40C1378F"/>
    <w:rsid w:val="40DC5AC3"/>
    <w:rsid w:val="40F66CF8"/>
    <w:rsid w:val="40FE47B4"/>
    <w:rsid w:val="41517290"/>
    <w:rsid w:val="41B857FD"/>
    <w:rsid w:val="41BD6C4F"/>
    <w:rsid w:val="41BF3F3D"/>
    <w:rsid w:val="423A6CE0"/>
    <w:rsid w:val="429465D8"/>
    <w:rsid w:val="42C552F0"/>
    <w:rsid w:val="42CB68B9"/>
    <w:rsid w:val="431B4937"/>
    <w:rsid w:val="433948EE"/>
    <w:rsid w:val="434336CE"/>
    <w:rsid w:val="4361706F"/>
    <w:rsid w:val="439B0217"/>
    <w:rsid w:val="43A04D6D"/>
    <w:rsid w:val="43CA1521"/>
    <w:rsid w:val="43D46F84"/>
    <w:rsid w:val="443E4D4D"/>
    <w:rsid w:val="444B0E8A"/>
    <w:rsid w:val="448268F9"/>
    <w:rsid w:val="44892107"/>
    <w:rsid w:val="44D27937"/>
    <w:rsid w:val="44EC55D9"/>
    <w:rsid w:val="44F7192B"/>
    <w:rsid w:val="452D2D32"/>
    <w:rsid w:val="455617E5"/>
    <w:rsid w:val="455A248C"/>
    <w:rsid w:val="45866A2B"/>
    <w:rsid w:val="45A46C77"/>
    <w:rsid w:val="468F3DAD"/>
    <w:rsid w:val="46D80A88"/>
    <w:rsid w:val="46EE0064"/>
    <w:rsid w:val="472209A3"/>
    <w:rsid w:val="47671FAE"/>
    <w:rsid w:val="47793996"/>
    <w:rsid w:val="47930EA1"/>
    <w:rsid w:val="47A250A3"/>
    <w:rsid w:val="48624C7F"/>
    <w:rsid w:val="48A936DA"/>
    <w:rsid w:val="48AC4D69"/>
    <w:rsid w:val="494B3B16"/>
    <w:rsid w:val="495D768C"/>
    <w:rsid w:val="499D1725"/>
    <w:rsid w:val="49C224BB"/>
    <w:rsid w:val="4A4F5FBC"/>
    <w:rsid w:val="4A6D2850"/>
    <w:rsid w:val="4A732A37"/>
    <w:rsid w:val="4AE776CE"/>
    <w:rsid w:val="4AF126EB"/>
    <w:rsid w:val="4B2E2D61"/>
    <w:rsid w:val="4BED77F7"/>
    <w:rsid w:val="4C1C75AE"/>
    <w:rsid w:val="4C897298"/>
    <w:rsid w:val="4CA941E6"/>
    <w:rsid w:val="4CBC1C48"/>
    <w:rsid w:val="4CC93DFA"/>
    <w:rsid w:val="4CEA7E6E"/>
    <w:rsid w:val="4D7C1855"/>
    <w:rsid w:val="4DC1643C"/>
    <w:rsid w:val="4DC87E21"/>
    <w:rsid w:val="4DCE7E9C"/>
    <w:rsid w:val="4E0660FD"/>
    <w:rsid w:val="4E4E7955"/>
    <w:rsid w:val="4E6576C1"/>
    <w:rsid w:val="4E6A2FDF"/>
    <w:rsid w:val="4E777C22"/>
    <w:rsid w:val="4E9463C0"/>
    <w:rsid w:val="4EBF6A8F"/>
    <w:rsid w:val="4EC40795"/>
    <w:rsid w:val="4EDF3D2B"/>
    <w:rsid w:val="4EED79F5"/>
    <w:rsid w:val="4F0204E1"/>
    <w:rsid w:val="4F075432"/>
    <w:rsid w:val="4F287C8B"/>
    <w:rsid w:val="4F683C26"/>
    <w:rsid w:val="4FCF1351"/>
    <w:rsid w:val="505A0C64"/>
    <w:rsid w:val="5080370D"/>
    <w:rsid w:val="50C932F8"/>
    <w:rsid w:val="50E92A15"/>
    <w:rsid w:val="50F01501"/>
    <w:rsid w:val="512A1D93"/>
    <w:rsid w:val="5146198F"/>
    <w:rsid w:val="514708BF"/>
    <w:rsid w:val="5179395B"/>
    <w:rsid w:val="519D25A2"/>
    <w:rsid w:val="51F44E31"/>
    <w:rsid w:val="51FA1837"/>
    <w:rsid w:val="52093230"/>
    <w:rsid w:val="521B7A92"/>
    <w:rsid w:val="522C62B0"/>
    <w:rsid w:val="523E4510"/>
    <w:rsid w:val="523F08A8"/>
    <w:rsid w:val="523F45D1"/>
    <w:rsid w:val="524F6E89"/>
    <w:rsid w:val="52695AB4"/>
    <w:rsid w:val="529D4C7B"/>
    <w:rsid w:val="52B04AC4"/>
    <w:rsid w:val="52C402FD"/>
    <w:rsid w:val="52E14910"/>
    <w:rsid w:val="532C2566"/>
    <w:rsid w:val="53301984"/>
    <w:rsid w:val="53495A7C"/>
    <w:rsid w:val="53651C6A"/>
    <w:rsid w:val="538B13EF"/>
    <w:rsid w:val="53BF5C69"/>
    <w:rsid w:val="53DA0A43"/>
    <w:rsid w:val="54031803"/>
    <w:rsid w:val="549067EE"/>
    <w:rsid w:val="54942BB0"/>
    <w:rsid w:val="54A45A04"/>
    <w:rsid w:val="54C829F5"/>
    <w:rsid w:val="550700D3"/>
    <w:rsid w:val="55843436"/>
    <w:rsid w:val="55B865F8"/>
    <w:rsid w:val="55C0390E"/>
    <w:rsid w:val="55D13F1F"/>
    <w:rsid w:val="55D520AC"/>
    <w:rsid w:val="55E369AE"/>
    <w:rsid w:val="560523EE"/>
    <w:rsid w:val="564C2BB1"/>
    <w:rsid w:val="566E5F27"/>
    <w:rsid w:val="566F7832"/>
    <w:rsid w:val="56C768B4"/>
    <w:rsid w:val="56E0027A"/>
    <w:rsid w:val="56E91124"/>
    <w:rsid w:val="57070C7D"/>
    <w:rsid w:val="570E6205"/>
    <w:rsid w:val="575D4E2E"/>
    <w:rsid w:val="577F6B33"/>
    <w:rsid w:val="57CB00E8"/>
    <w:rsid w:val="57E15361"/>
    <w:rsid w:val="58035B31"/>
    <w:rsid w:val="582D45D3"/>
    <w:rsid w:val="58CE6FC1"/>
    <w:rsid w:val="58F46356"/>
    <w:rsid w:val="58F6185E"/>
    <w:rsid w:val="591257DC"/>
    <w:rsid w:val="591A4503"/>
    <w:rsid w:val="593F73F0"/>
    <w:rsid w:val="595D01BF"/>
    <w:rsid w:val="59C87720"/>
    <w:rsid w:val="59EC07B2"/>
    <w:rsid w:val="5A2E1669"/>
    <w:rsid w:val="5AB91E0A"/>
    <w:rsid w:val="5ACD03CB"/>
    <w:rsid w:val="5AD84DC4"/>
    <w:rsid w:val="5B040B42"/>
    <w:rsid w:val="5B353B99"/>
    <w:rsid w:val="5B4774FC"/>
    <w:rsid w:val="5B6D42C1"/>
    <w:rsid w:val="5B903325"/>
    <w:rsid w:val="5BB167A0"/>
    <w:rsid w:val="5BC96B7A"/>
    <w:rsid w:val="5BCD3584"/>
    <w:rsid w:val="5BF1724E"/>
    <w:rsid w:val="5C0D7B28"/>
    <w:rsid w:val="5C223266"/>
    <w:rsid w:val="5C686466"/>
    <w:rsid w:val="5CD93130"/>
    <w:rsid w:val="5D007CBB"/>
    <w:rsid w:val="5D0B40ED"/>
    <w:rsid w:val="5D101449"/>
    <w:rsid w:val="5D5B758E"/>
    <w:rsid w:val="5D663F23"/>
    <w:rsid w:val="5DB22BFD"/>
    <w:rsid w:val="5DC97723"/>
    <w:rsid w:val="5DD739B2"/>
    <w:rsid w:val="5DF72025"/>
    <w:rsid w:val="5E1B1532"/>
    <w:rsid w:val="5E671983"/>
    <w:rsid w:val="5E8907C8"/>
    <w:rsid w:val="5E900D37"/>
    <w:rsid w:val="5E903ABB"/>
    <w:rsid w:val="5E9911D9"/>
    <w:rsid w:val="5E9F402B"/>
    <w:rsid w:val="5EAB1291"/>
    <w:rsid w:val="5F5011B7"/>
    <w:rsid w:val="5F575403"/>
    <w:rsid w:val="5F741CFE"/>
    <w:rsid w:val="5F88093C"/>
    <w:rsid w:val="5F8C57A1"/>
    <w:rsid w:val="5F927ABC"/>
    <w:rsid w:val="5F943BF1"/>
    <w:rsid w:val="5FAD5C1F"/>
    <w:rsid w:val="5FD26416"/>
    <w:rsid w:val="5FDB251D"/>
    <w:rsid w:val="603418FC"/>
    <w:rsid w:val="60492E1B"/>
    <w:rsid w:val="60697C85"/>
    <w:rsid w:val="607D1F13"/>
    <w:rsid w:val="608900AC"/>
    <w:rsid w:val="60C97D4F"/>
    <w:rsid w:val="60FB7125"/>
    <w:rsid w:val="61152047"/>
    <w:rsid w:val="6121416C"/>
    <w:rsid w:val="612450A5"/>
    <w:rsid w:val="6160677B"/>
    <w:rsid w:val="618C67D5"/>
    <w:rsid w:val="61BA4E90"/>
    <w:rsid w:val="61BC1427"/>
    <w:rsid w:val="61BC4F38"/>
    <w:rsid w:val="61D37928"/>
    <w:rsid w:val="61DB683B"/>
    <w:rsid w:val="61FC3796"/>
    <w:rsid w:val="620467BA"/>
    <w:rsid w:val="62204816"/>
    <w:rsid w:val="622D2BEC"/>
    <w:rsid w:val="623372BD"/>
    <w:rsid w:val="62F60DE0"/>
    <w:rsid w:val="630E7655"/>
    <w:rsid w:val="634B5A08"/>
    <w:rsid w:val="63602F66"/>
    <w:rsid w:val="63965DF7"/>
    <w:rsid w:val="63DD0DD3"/>
    <w:rsid w:val="63FB5407"/>
    <w:rsid w:val="640D2936"/>
    <w:rsid w:val="641408AE"/>
    <w:rsid w:val="641F5EE8"/>
    <w:rsid w:val="64283CD3"/>
    <w:rsid w:val="64522284"/>
    <w:rsid w:val="649607D8"/>
    <w:rsid w:val="649C0E8F"/>
    <w:rsid w:val="64BB1097"/>
    <w:rsid w:val="64BC3B5E"/>
    <w:rsid w:val="65152017"/>
    <w:rsid w:val="652753D6"/>
    <w:rsid w:val="654616D2"/>
    <w:rsid w:val="65532802"/>
    <w:rsid w:val="6583069B"/>
    <w:rsid w:val="65BF6566"/>
    <w:rsid w:val="66045BDD"/>
    <w:rsid w:val="661A0218"/>
    <w:rsid w:val="66371AC6"/>
    <w:rsid w:val="665D25F4"/>
    <w:rsid w:val="66B96731"/>
    <w:rsid w:val="66E50FB1"/>
    <w:rsid w:val="672D3272"/>
    <w:rsid w:val="674048E2"/>
    <w:rsid w:val="6754452F"/>
    <w:rsid w:val="6758501C"/>
    <w:rsid w:val="67655494"/>
    <w:rsid w:val="67B16815"/>
    <w:rsid w:val="67D71794"/>
    <w:rsid w:val="67DE6474"/>
    <w:rsid w:val="68426F20"/>
    <w:rsid w:val="684557C2"/>
    <w:rsid w:val="68715924"/>
    <w:rsid w:val="68912923"/>
    <w:rsid w:val="68EF711A"/>
    <w:rsid w:val="68FE0E90"/>
    <w:rsid w:val="69032410"/>
    <w:rsid w:val="691C4780"/>
    <w:rsid w:val="6A005B49"/>
    <w:rsid w:val="6A403C00"/>
    <w:rsid w:val="6AE3506A"/>
    <w:rsid w:val="6B000D79"/>
    <w:rsid w:val="6B173B71"/>
    <w:rsid w:val="6B4C7D1B"/>
    <w:rsid w:val="6BF01A4B"/>
    <w:rsid w:val="6C267EB4"/>
    <w:rsid w:val="6C757C03"/>
    <w:rsid w:val="6CAB2857"/>
    <w:rsid w:val="6CD653AF"/>
    <w:rsid w:val="6D1363D3"/>
    <w:rsid w:val="6D15429C"/>
    <w:rsid w:val="6D51532E"/>
    <w:rsid w:val="6D614426"/>
    <w:rsid w:val="6D6F3CAE"/>
    <w:rsid w:val="6DA577A5"/>
    <w:rsid w:val="6DB8609B"/>
    <w:rsid w:val="6DB87D30"/>
    <w:rsid w:val="6DD01C86"/>
    <w:rsid w:val="6E0B4C44"/>
    <w:rsid w:val="6E804287"/>
    <w:rsid w:val="6E966944"/>
    <w:rsid w:val="6EA253F8"/>
    <w:rsid w:val="6EB30283"/>
    <w:rsid w:val="6EFD0E66"/>
    <w:rsid w:val="6F044EAD"/>
    <w:rsid w:val="6F587437"/>
    <w:rsid w:val="6F605325"/>
    <w:rsid w:val="6F736B9E"/>
    <w:rsid w:val="6F7442ED"/>
    <w:rsid w:val="6FD72609"/>
    <w:rsid w:val="6FD73445"/>
    <w:rsid w:val="70111D46"/>
    <w:rsid w:val="70511D87"/>
    <w:rsid w:val="70796813"/>
    <w:rsid w:val="70817970"/>
    <w:rsid w:val="709949F1"/>
    <w:rsid w:val="712B5699"/>
    <w:rsid w:val="71DE60AD"/>
    <w:rsid w:val="721D116E"/>
    <w:rsid w:val="72A30A90"/>
    <w:rsid w:val="72AE5309"/>
    <w:rsid w:val="72C042BE"/>
    <w:rsid w:val="73074041"/>
    <w:rsid w:val="730F0DA5"/>
    <w:rsid w:val="73166D41"/>
    <w:rsid w:val="734D66FD"/>
    <w:rsid w:val="7350372D"/>
    <w:rsid w:val="735A6A5C"/>
    <w:rsid w:val="7375262D"/>
    <w:rsid w:val="737D39BB"/>
    <w:rsid w:val="73AF3C73"/>
    <w:rsid w:val="73D54054"/>
    <w:rsid w:val="741A53B1"/>
    <w:rsid w:val="74251C86"/>
    <w:rsid w:val="74404FD9"/>
    <w:rsid w:val="746128E3"/>
    <w:rsid w:val="746D1278"/>
    <w:rsid w:val="74F25486"/>
    <w:rsid w:val="762C29D0"/>
    <w:rsid w:val="765D4468"/>
    <w:rsid w:val="76635F01"/>
    <w:rsid w:val="768532DA"/>
    <w:rsid w:val="76975133"/>
    <w:rsid w:val="769B60FD"/>
    <w:rsid w:val="76B44E24"/>
    <w:rsid w:val="76C10F77"/>
    <w:rsid w:val="76F23F2B"/>
    <w:rsid w:val="772966DA"/>
    <w:rsid w:val="7756146B"/>
    <w:rsid w:val="7788260E"/>
    <w:rsid w:val="77A753ED"/>
    <w:rsid w:val="77AD03FC"/>
    <w:rsid w:val="77D8678E"/>
    <w:rsid w:val="77D9199A"/>
    <w:rsid w:val="77FF68F3"/>
    <w:rsid w:val="78061DFD"/>
    <w:rsid w:val="7814798C"/>
    <w:rsid w:val="7819740D"/>
    <w:rsid w:val="781E454A"/>
    <w:rsid w:val="784F5123"/>
    <w:rsid w:val="789F59B2"/>
    <w:rsid w:val="78CE164E"/>
    <w:rsid w:val="78D15BEB"/>
    <w:rsid w:val="78DE7FEC"/>
    <w:rsid w:val="78E10B53"/>
    <w:rsid w:val="78ED2B64"/>
    <w:rsid w:val="796E7B9B"/>
    <w:rsid w:val="796F317E"/>
    <w:rsid w:val="798A0BE0"/>
    <w:rsid w:val="79A7191C"/>
    <w:rsid w:val="79E1548F"/>
    <w:rsid w:val="7A1C4A90"/>
    <w:rsid w:val="7A224A32"/>
    <w:rsid w:val="7A4B0114"/>
    <w:rsid w:val="7A6D55E9"/>
    <w:rsid w:val="7A9B2814"/>
    <w:rsid w:val="7ABD49CD"/>
    <w:rsid w:val="7ADE2DE7"/>
    <w:rsid w:val="7B2937B2"/>
    <w:rsid w:val="7B521C8E"/>
    <w:rsid w:val="7BA85469"/>
    <w:rsid w:val="7BAB0BDF"/>
    <w:rsid w:val="7BEA48CB"/>
    <w:rsid w:val="7C0E15E2"/>
    <w:rsid w:val="7C28250F"/>
    <w:rsid w:val="7C311FCC"/>
    <w:rsid w:val="7C6A58E8"/>
    <w:rsid w:val="7C797F38"/>
    <w:rsid w:val="7CFB06AD"/>
    <w:rsid w:val="7D0E2676"/>
    <w:rsid w:val="7D3577BA"/>
    <w:rsid w:val="7D3D2B4E"/>
    <w:rsid w:val="7D417D38"/>
    <w:rsid w:val="7D5B7523"/>
    <w:rsid w:val="7D8358D0"/>
    <w:rsid w:val="7DBC4E16"/>
    <w:rsid w:val="7DD668D9"/>
    <w:rsid w:val="7DD71369"/>
    <w:rsid w:val="7DE66F02"/>
    <w:rsid w:val="7E0776A9"/>
    <w:rsid w:val="7E213253"/>
    <w:rsid w:val="7E382952"/>
    <w:rsid w:val="7E600C51"/>
    <w:rsid w:val="7E6C694C"/>
    <w:rsid w:val="7E8622B0"/>
    <w:rsid w:val="7ED17F92"/>
    <w:rsid w:val="7ED439D7"/>
    <w:rsid w:val="7F2B23AD"/>
    <w:rsid w:val="7F460DAF"/>
    <w:rsid w:val="7F547A69"/>
    <w:rsid w:val="7F977077"/>
    <w:rsid w:val="7FB50D96"/>
    <w:rsid w:val="7FE85FE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25"/>
    <w:qFormat/>
    <w:uiPriority w:val="9"/>
    <w:pPr>
      <w:keepNext/>
      <w:keepLines/>
      <w:spacing w:before="340" w:after="330" w:line="578" w:lineRule="auto"/>
      <w:jc w:val="center"/>
      <w:outlineLvl w:val="0"/>
    </w:pPr>
    <w:rPr>
      <w:rFonts w:eastAsia="黑体" w:asciiTheme="minorHAnsi" w:hAnsiTheme="minorHAnsi" w:cstheme="minorBidi"/>
      <w:bCs/>
      <w:kern w:val="44"/>
      <w:sz w:val="32"/>
      <w:szCs w:val="44"/>
    </w:rPr>
  </w:style>
  <w:style w:type="paragraph" w:styleId="3">
    <w:name w:val="heading 2"/>
    <w:basedOn w:val="1"/>
    <w:next w:val="1"/>
    <w:link w:val="26"/>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27"/>
    <w:unhideWhenUsed/>
    <w:qFormat/>
    <w:uiPriority w:val="9"/>
    <w:pPr>
      <w:keepNext/>
      <w:keepLines/>
      <w:spacing w:before="260" w:after="260" w:line="416" w:lineRule="auto"/>
      <w:jc w:val="center"/>
      <w:outlineLvl w:val="2"/>
    </w:pPr>
    <w:rPr>
      <w:rFonts w:eastAsia="方正楷体_GBK" w:asciiTheme="minorHAnsi" w:hAnsiTheme="minorHAnsi" w:cstheme="minorBidi"/>
      <w:b/>
      <w:bCs/>
      <w:sz w:val="32"/>
      <w:szCs w:val="32"/>
    </w:rPr>
  </w:style>
  <w:style w:type="paragraph" w:styleId="5">
    <w:name w:val="heading 4"/>
    <w:basedOn w:val="1"/>
    <w:next w:val="1"/>
    <w:link w:val="28"/>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9"/>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30"/>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31"/>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32"/>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20">
    <w:name w:val="Default Paragraph Font"/>
    <w:unhideWhenUsed/>
    <w:qFormat/>
    <w:uiPriority w:val="1"/>
  </w:style>
  <w:style w:type="table" w:default="1" w:styleId="18">
    <w:name w:val="Normal Table"/>
    <w:semiHidden/>
    <w:unhideWhenUsed/>
    <w:qFormat/>
    <w:uiPriority w:val="99"/>
    <w:tblPr>
      <w:tblCellMar>
        <w:top w:w="0" w:type="dxa"/>
        <w:left w:w="108" w:type="dxa"/>
        <w:bottom w:w="0" w:type="dxa"/>
        <w:right w:w="108" w:type="dxa"/>
      </w:tblCellMar>
    </w:tblPr>
  </w:style>
  <w:style w:type="paragraph" w:styleId="10">
    <w:name w:val="Body Text Indent"/>
    <w:basedOn w:val="1"/>
    <w:next w:val="1"/>
    <w:link w:val="35"/>
    <w:unhideWhenUsed/>
    <w:qFormat/>
    <w:uiPriority w:val="99"/>
    <w:pPr>
      <w:spacing w:before="100" w:beforeAutospacing="1" w:after="120"/>
      <w:ind w:left="200" w:leftChars="200"/>
    </w:pPr>
    <w:rPr>
      <w:szCs w:val="21"/>
    </w:rPr>
  </w:style>
  <w:style w:type="paragraph" w:styleId="11">
    <w:name w:val="Plain Text"/>
    <w:basedOn w:val="1"/>
    <w:link w:val="22"/>
    <w:unhideWhenUsed/>
    <w:qFormat/>
    <w:uiPriority w:val="99"/>
    <w:rPr>
      <w:rFonts w:ascii="宋体" w:hAnsi="Courier New" w:cs="Courier New"/>
      <w:szCs w:val="21"/>
    </w:rPr>
  </w:style>
  <w:style w:type="paragraph" w:styleId="12">
    <w:name w:val="Balloon Text"/>
    <w:basedOn w:val="1"/>
    <w:link w:val="33"/>
    <w:semiHidden/>
    <w:unhideWhenUsed/>
    <w:qFormat/>
    <w:uiPriority w:val="99"/>
    <w:rPr>
      <w:rFonts w:asciiTheme="minorHAnsi" w:hAnsiTheme="minorHAnsi" w:eastAsiaTheme="minorEastAsia" w:cstheme="minorBidi"/>
      <w:sz w:val="18"/>
      <w:szCs w:val="18"/>
    </w:rPr>
  </w:style>
  <w:style w:type="paragraph" w:styleId="13">
    <w:name w:val="footer"/>
    <w:basedOn w:val="1"/>
    <w:link w:val="37"/>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14">
    <w:name w:val="header"/>
    <w:basedOn w:val="1"/>
    <w:link w:val="23"/>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5">
    <w:name w:val="footnote text"/>
    <w:basedOn w:val="1"/>
    <w:semiHidden/>
    <w:unhideWhenUsed/>
    <w:qFormat/>
    <w:uiPriority w:val="99"/>
    <w:pPr>
      <w:snapToGrid w:val="0"/>
      <w:jc w:val="left"/>
    </w:pPr>
    <w:rPr>
      <w:rFonts w:asciiTheme="minorHAnsi" w:hAnsiTheme="minorHAnsi" w:eastAsiaTheme="minorEastAsia" w:cstheme="minorBidi"/>
      <w:sz w:val="18"/>
      <w:szCs w:val="18"/>
    </w:rPr>
  </w:style>
  <w:style w:type="paragraph" w:styleId="16">
    <w:name w:val="Normal (Web)"/>
    <w:basedOn w:val="1"/>
    <w:unhideWhenUsed/>
    <w:qFormat/>
    <w:uiPriority w:val="99"/>
    <w:pPr>
      <w:widowControl/>
      <w:spacing w:beforeAutospacing="1" w:afterAutospacing="1"/>
      <w:jc w:val="left"/>
    </w:pPr>
    <w:rPr>
      <w:rFonts w:hint="eastAsia" w:ascii="宋体" w:hAnsi="宋体"/>
      <w:kern w:val="0"/>
      <w:sz w:val="24"/>
      <w:szCs w:val="24"/>
    </w:rPr>
  </w:style>
  <w:style w:type="paragraph" w:styleId="17">
    <w:name w:val="Title"/>
    <w:basedOn w:val="1"/>
    <w:next w:val="1"/>
    <w:link w:val="36"/>
    <w:qFormat/>
    <w:uiPriority w:val="10"/>
    <w:pPr>
      <w:spacing w:before="240" w:after="60"/>
      <w:jc w:val="center"/>
      <w:outlineLvl w:val="0"/>
    </w:pPr>
    <w:rPr>
      <w:rFonts w:ascii="Cambria" w:hAnsi="Cambria"/>
      <w:b/>
      <w:sz w:val="32"/>
      <w:szCs w:val="32"/>
    </w:rPr>
  </w:style>
  <w:style w:type="table" w:styleId="19">
    <w:name w:val="Table Grid"/>
    <w:basedOn w:val="18"/>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1">
    <w:name w:val="footnote reference"/>
    <w:basedOn w:val="20"/>
    <w:semiHidden/>
    <w:unhideWhenUsed/>
    <w:qFormat/>
    <w:uiPriority w:val="99"/>
    <w:rPr>
      <w:vertAlign w:val="superscript"/>
    </w:rPr>
  </w:style>
  <w:style w:type="character" w:customStyle="1" w:styleId="22">
    <w:name w:val="纯文本 Char"/>
    <w:basedOn w:val="20"/>
    <w:link w:val="11"/>
    <w:qFormat/>
    <w:uiPriority w:val="99"/>
    <w:rPr>
      <w:rFonts w:ascii="宋体" w:hAnsi="Courier New" w:eastAsia="宋体" w:cs="Courier New"/>
      <w:szCs w:val="21"/>
    </w:rPr>
  </w:style>
  <w:style w:type="character" w:customStyle="1" w:styleId="23">
    <w:name w:val="页眉 Char"/>
    <w:basedOn w:val="20"/>
    <w:link w:val="14"/>
    <w:qFormat/>
    <w:uiPriority w:val="99"/>
    <w:rPr>
      <w:sz w:val="18"/>
      <w:szCs w:val="18"/>
    </w:rPr>
  </w:style>
  <w:style w:type="character" w:customStyle="1" w:styleId="24">
    <w:name w:val="页脚 Char"/>
    <w:basedOn w:val="20"/>
    <w:link w:val="13"/>
    <w:qFormat/>
    <w:uiPriority w:val="99"/>
    <w:rPr>
      <w:sz w:val="18"/>
      <w:szCs w:val="18"/>
    </w:rPr>
  </w:style>
  <w:style w:type="character" w:customStyle="1" w:styleId="25">
    <w:name w:val="标题 1 Char"/>
    <w:basedOn w:val="20"/>
    <w:link w:val="2"/>
    <w:qFormat/>
    <w:uiPriority w:val="9"/>
    <w:rPr>
      <w:rFonts w:eastAsia="黑体" w:asciiTheme="minorHAnsi" w:hAnsiTheme="minorHAnsi"/>
      <w:bCs/>
      <w:kern w:val="44"/>
      <w:sz w:val="32"/>
      <w:szCs w:val="44"/>
    </w:rPr>
  </w:style>
  <w:style w:type="character" w:customStyle="1" w:styleId="26">
    <w:name w:val="标题 2 Char"/>
    <w:basedOn w:val="20"/>
    <w:link w:val="3"/>
    <w:semiHidden/>
    <w:qFormat/>
    <w:uiPriority w:val="9"/>
    <w:rPr>
      <w:rFonts w:eastAsia="方正黑体_GBK" w:asciiTheme="majorHAnsi" w:hAnsiTheme="majorHAnsi" w:cstheme="majorBidi"/>
      <w:bCs/>
      <w:sz w:val="32"/>
      <w:szCs w:val="32"/>
    </w:rPr>
  </w:style>
  <w:style w:type="character" w:customStyle="1" w:styleId="27">
    <w:name w:val="标题 3 Char"/>
    <w:basedOn w:val="20"/>
    <w:link w:val="4"/>
    <w:semiHidden/>
    <w:qFormat/>
    <w:uiPriority w:val="9"/>
    <w:rPr>
      <w:rFonts w:eastAsia="方正楷体_GBK" w:asciiTheme="minorHAnsi" w:hAnsiTheme="minorHAnsi"/>
      <w:b/>
      <w:bCs/>
      <w:sz w:val="32"/>
      <w:szCs w:val="32"/>
    </w:rPr>
  </w:style>
  <w:style w:type="character" w:customStyle="1" w:styleId="28">
    <w:name w:val="标题 4 Char"/>
    <w:basedOn w:val="20"/>
    <w:link w:val="5"/>
    <w:semiHidden/>
    <w:qFormat/>
    <w:uiPriority w:val="9"/>
    <w:rPr>
      <w:rFonts w:asciiTheme="majorHAnsi" w:hAnsiTheme="majorHAnsi" w:eastAsiaTheme="majorEastAsia" w:cstheme="majorBidi"/>
      <w:b/>
      <w:bCs/>
      <w:sz w:val="28"/>
      <w:szCs w:val="28"/>
    </w:rPr>
  </w:style>
  <w:style w:type="character" w:customStyle="1" w:styleId="29">
    <w:name w:val="标题 5 Char"/>
    <w:basedOn w:val="20"/>
    <w:link w:val="6"/>
    <w:semiHidden/>
    <w:qFormat/>
    <w:uiPriority w:val="9"/>
    <w:rPr>
      <w:b/>
      <w:bCs/>
      <w:sz w:val="28"/>
      <w:szCs w:val="28"/>
    </w:rPr>
  </w:style>
  <w:style w:type="character" w:customStyle="1" w:styleId="30">
    <w:name w:val="标题 6 Char"/>
    <w:basedOn w:val="20"/>
    <w:link w:val="7"/>
    <w:semiHidden/>
    <w:qFormat/>
    <w:uiPriority w:val="9"/>
    <w:rPr>
      <w:rFonts w:asciiTheme="majorHAnsi" w:hAnsiTheme="majorHAnsi" w:eastAsiaTheme="majorEastAsia" w:cstheme="majorBidi"/>
      <w:b/>
      <w:bCs/>
      <w:sz w:val="24"/>
      <w:szCs w:val="24"/>
    </w:rPr>
  </w:style>
  <w:style w:type="character" w:customStyle="1" w:styleId="31">
    <w:name w:val="标题 7 Char"/>
    <w:basedOn w:val="20"/>
    <w:link w:val="8"/>
    <w:semiHidden/>
    <w:qFormat/>
    <w:uiPriority w:val="9"/>
    <w:rPr>
      <w:b/>
      <w:bCs/>
      <w:sz w:val="24"/>
      <w:szCs w:val="24"/>
    </w:rPr>
  </w:style>
  <w:style w:type="character" w:customStyle="1" w:styleId="32">
    <w:name w:val="标题 8 Char"/>
    <w:basedOn w:val="20"/>
    <w:link w:val="9"/>
    <w:semiHidden/>
    <w:qFormat/>
    <w:uiPriority w:val="9"/>
    <w:rPr>
      <w:rFonts w:asciiTheme="majorHAnsi" w:hAnsiTheme="majorHAnsi" w:eastAsiaTheme="majorEastAsia" w:cstheme="majorBidi"/>
      <w:sz w:val="24"/>
      <w:szCs w:val="24"/>
    </w:rPr>
  </w:style>
  <w:style w:type="character" w:customStyle="1" w:styleId="33">
    <w:name w:val="批注框文本 Char"/>
    <w:basedOn w:val="20"/>
    <w:link w:val="12"/>
    <w:semiHidden/>
    <w:qFormat/>
    <w:uiPriority w:val="99"/>
    <w:rPr>
      <w:kern w:val="2"/>
      <w:sz w:val="18"/>
      <w:szCs w:val="18"/>
    </w:rPr>
  </w:style>
  <w:style w:type="character" w:customStyle="1" w:styleId="34">
    <w:name w:val="15"/>
    <w:basedOn w:val="20"/>
    <w:qFormat/>
    <w:uiPriority w:val="0"/>
    <w:rPr>
      <w:rFonts w:hint="default" w:ascii="Times New Roman" w:hAnsi="Times New Roman" w:cs="Times New Roman"/>
      <w:b/>
      <w:bCs/>
    </w:rPr>
  </w:style>
  <w:style w:type="character" w:customStyle="1" w:styleId="35">
    <w:name w:val="正文文本缩进 Char"/>
    <w:basedOn w:val="20"/>
    <w:link w:val="10"/>
    <w:qFormat/>
    <w:uiPriority w:val="99"/>
    <w:rPr>
      <w:rFonts w:ascii="Times New Roman" w:hAnsi="Times New Roman" w:eastAsia="宋体" w:cs="Times New Roman"/>
      <w:kern w:val="2"/>
      <w:sz w:val="21"/>
      <w:szCs w:val="21"/>
    </w:rPr>
  </w:style>
  <w:style w:type="character" w:customStyle="1" w:styleId="36">
    <w:name w:val="标题 Char"/>
    <w:basedOn w:val="20"/>
    <w:link w:val="17"/>
    <w:qFormat/>
    <w:uiPriority w:val="0"/>
    <w:rPr>
      <w:rFonts w:hint="default" w:ascii="Cambria" w:hAnsi="Cambria" w:eastAsia="宋体" w:cs="Cambria"/>
      <w:b/>
      <w:kern w:val="2"/>
      <w:sz w:val="32"/>
      <w:szCs w:val="32"/>
    </w:rPr>
  </w:style>
  <w:style w:type="character" w:customStyle="1" w:styleId="37">
    <w:name w:val="页脚 Char1"/>
    <w:basedOn w:val="20"/>
    <w:link w:val="13"/>
    <w:qFormat/>
    <w:uiPriority w:val="0"/>
    <w:rPr>
      <w:rFonts w:hint="default" w:ascii="Times New Roman" w:hAnsi="Times New Roman" w:eastAsia="宋体" w:cs="Times New Roman"/>
      <w:kern w:val="2"/>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6D08D9E-12ED-4CC7-9D4C-4B248BA000A6}">
  <ds:schemaRefs/>
</ds:datastoreItem>
</file>

<file path=docProps/app.xml><?xml version="1.0" encoding="utf-8"?>
<Properties xmlns="http://schemas.openxmlformats.org/officeDocument/2006/extended-properties" xmlns:vt="http://schemas.openxmlformats.org/officeDocument/2006/docPropsVTypes">
  <Template>Normal.dotm</Template>
  <Pages>1</Pages>
  <Words>65</Words>
  <Characters>76</Characters>
  <Lines>69</Lines>
  <Paragraphs>19</Paragraphs>
  <TotalTime>0</TotalTime>
  <ScaleCrop>false</ScaleCrop>
  <LinksUpToDate>false</LinksUpToDate>
  <CharactersWithSpaces>77</CharactersWithSpaces>
  <Application>WPS Office_11.1.0.11744_F1E327BC-269C-435d-A152-05C5408002CA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李建荣</cp:lastModifiedBy>
  <dcterms:modified xsi:type="dcterms:W3CDTF">2022-05-29T12:05:03Z</dcterms:modified>
  <cp:revision>32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2052-11.1.0.11744</vt:lpwstr>
  </property>
  <property fmtid="{D5CDD505-2E9C-101B-9397-08002B2CF9AE}" pid="3" name="ICV">
    <vt:lpwstr>AAC7F7B6F5494A41BADB80700CA67999</vt:lpwstr>
  </property>
</Properties>
</file>