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城市市容和环境卫生管理条例</w:t>
      </w:r>
    </w:p>
    <w:p>
      <w:pPr>
        <w:pStyle w:val="3"/>
        <w:keepNext/>
        <w:keepLines/>
        <w:pageBreakBefore w:val="0"/>
        <w:widowControl w:val="0"/>
        <w:kinsoku/>
        <w:wordWrap/>
        <w:overflowPunct/>
        <w:topLinePunct w:val="0"/>
        <w:autoSpaceDE/>
        <w:autoSpaceDN/>
        <w:bidi w:val="0"/>
        <w:adjustRightInd/>
        <w:snapToGrid/>
        <w:ind w:firstLine="640" w:firstLineChars="200"/>
        <w:jc w:val="left"/>
        <w:textAlignment w:val="auto"/>
        <w:rPr>
          <w:rFonts w:hint="eastAsia" w:ascii="楷体_GB2312" w:hAnsi="楷体_GB2312" w:eastAsia="楷体_GB2312" w:cs="楷体_GB2312"/>
          <w:b w:val="0"/>
          <w:bCs w:val="0"/>
          <w:spacing w:val="0"/>
          <w:sz w:val="32"/>
          <w:szCs w:val="32"/>
          <w:lang w:val="en-US" w:eastAsia="zh-CN"/>
        </w:rPr>
      </w:pPr>
      <w:r>
        <w:rPr>
          <w:rFonts w:hint="eastAsia" w:ascii="楷体_GB2312" w:hAnsi="楷体_GB2312" w:eastAsia="楷体_GB2312" w:cs="楷体_GB2312"/>
          <w:b w:val="0"/>
          <w:bCs w:val="0"/>
          <w:spacing w:val="0"/>
          <w:sz w:val="32"/>
          <w:szCs w:val="32"/>
        </w:rPr>
        <w:t>(1992年5月20日国务院第104次常务会议通过　1992年6月28日中华人民共和国国务院令第101号发布　自1992年8月1日起施行</w:t>
      </w:r>
      <w:r>
        <w:rPr>
          <w:rFonts w:hint="eastAsia" w:ascii="楷体_GB2312" w:hAnsi="楷体_GB2312" w:eastAsia="楷体_GB2312" w:cs="楷体_GB2312"/>
          <w:b w:val="0"/>
          <w:bCs w:val="0"/>
          <w:spacing w:val="0"/>
          <w:sz w:val="32"/>
          <w:szCs w:val="32"/>
          <w:lang w:val="en-US" w:eastAsia="zh-CN"/>
        </w:rPr>
        <w:t>)</w:t>
      </w:r>
    </w:p>
    <w:p>
      <w:pPr>
        <w:pStyle w:val="3"/>
        <w:rPr>
          <w:sz w:val="32"/>
          <w:szCs w:val="32"/>
        </w:rPr>
      </w:pPr>
      <w:r>
        <w:rPr>
          <w:rFonts w:ascii="Times New Roman" w:hAnsi="Times New Roman" w:cs="Times New Roman"/>
          <w:sz w:val="32"/>
          <w:szCs w:val="32"/>
        </w:rPr>
        <w:t>第一章　总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为了加强城市市容和环境卫生管理，创造清洁、优美的城市工作、生活环境，促进城市社会主义物质文明和精神文明建设，制定本条例。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在中华人民共和国城市内，一切单位和个人都必须遵守本条例。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城市市容和环境卫生工作，实行统一领导、分区负责、专业人员管理与群众管理相结合的原则。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国务院城市建设行政主管部门主管全国城市市容和环境卫生工作。</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省、自治区人民政府城市建设行政主管部门负责本行政区域的城市市容和环境卫生管理工作。</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城市人民政府市容环境卫生行政主管部门负责本行政区域的城市市容和环境卫生管理工作。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城市人民政府应当把城市市容和环境卫生事业纳入国民经济和社会发展计划，并组织实施。</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城市人民政府应当结合本地的实际情况，积极推行环境卫生用工制度的改革，并采取措施，逐步提高环境卫生工作人员的工资福利待遇。</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城市人民政府应当加强城市市容和环境卫生科学知识的宣传，提高公民的环境卫生意识，养成良好的卫生习惯。</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一切单位和个人，都应当尊重市容和环境卫生工作人员的劳动，不得妨碍、阻挠市容和环境卫生工作人员履行职务。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国家鼓励城市市容和环境卫生的科学技术研究，推广先进技术，提高城市市容和环境卫生水平。</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对在城市市容和环境卫生工作中成绩显著的单位和个人，由人民政府给予奖励。</w:t>
      </w:r>
    </w:p>
    <w:p>
      <w:pPr>
        <w:pStyle w:val="3"/>
        <w:bidi w:val="0"/>
        <w:rPr>
          <w:szCs w:val="32"/>
        </w:rPr>
      </w:pPr>
      <w:r>
        <w:t>第二章　城市市容管理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城市中的建筑物和设施，应当符合国家规定的城市容貌标准。对外开放城市、风景旅游城市和有条件的其他城市，可以结合本地具体情况，制定严于国家规定的城市容貌标准；建制镇可以参照国家规定的城市容貌标准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一切单位和个人都应当保持建筑物的整洁、美观。在城市人民政府规定的街道的临街建筑物的阳台和窗外，不得堆放、吊挂有碍市容的物品。搭建或者封闭阳台必须符合城市人民政府市容环境卫生行政主管部门的有关规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在城市中设置户外广告、标语牌、画廊、橱窗等，应当内容健康、外型美观，并定期维修、油饰或者拆除。</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大型户外广告的设置必须征得城市人民政府市容环境卫生行政主管部门同意后，按照有关规定办理审批手续。</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城市中的市政公用设施，应当与周围环境相协调，并维护和保持设施完好、整洁。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主要街道两侧的建筑物前，应当根据需要与可能，选用透景、半透景的</w:t>
      </w:r>
      <w:r>
        <w:rPr>
          <w:rFonts w:hint="eastAsia" w:ascii="仿宋_GB2312" w:hAnsi="仿宋_GB2312" w:eastAsia="仿宋_GB2312" w:cs="仿宋_GB2312"/>
          <w:sz w:val="32"/>
          <w:szCs w:val="32"/>
        </w:rPr>
        <w:t>围墙、栅栏或者绿</w:t>
      </w:r>
      <w:r>
        <w:rPr>
          <w:rFonts w:hint="eastAsia" w:ascii="仿宋_GB2312" w:hAnsi="仿宋_GB2312" w:eastAsia="仿宋_GB2312" w:cs="仿宋_GB2312"/>
          <w:sz w:val="32"/>
          <w:szCs w:val="32"/>
        </w:rPr>
        <w:t>篱、花坛(池)、草坪等作为分界。</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临街树木、绿篱、花坛(池)、草坪等，应当保持整洁、美观。栽培、整修或者其他作业留下的渣土、枝叶等，管理</w:t>
      </w:r>
      <w:r>
        <w:rPr>
          <w:rFonts w:ascii="Times New Roman" w:hAnsi="Times New Roman" w:eastAsia="仿宋_GB2312" w:cs="Times New Roman"/>
          <w:sz w:val="32"/>
          <w:szCs w:val="32"/>
        </w:rPr>
        <w:t>单位、个人或者作业者应当及时清除。</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任何单位和个人</w:t>
      </w:r>
      <w:r>
        <w:rPr>
          <w:rFonts w:hint="eastAsia" w:ascii="仿宋_GB2312" w:hAnsi="仿宋_GB2312" w:eastAsia="仿宋_GB2312" w:cs="仿宋_GB2312"/>
          <w:sz w:val="32"/>
          <w:szCs w:val="32"/>
        </w:rPr>
        <w:t>都不得在街道两侧和公共场地堆放物料，搭建建筑物、构筑物或者其他设施。因建设等特殊需要，在街道两侧和公共场地临时堆放物料，搭建非永久性建筑物、构筑物或者其他设施的，必须征得城市人民政府市容环境卫</w:t>
      </w:r>
      <w:r>
        <w:rPr>
          <w:rFonts w:ascii="Times New Roman" w:hAnsi="Times New Roman" w:eastAsia="仿宋_GB2312" w:cs="Times New Roman"/>
          <w:sz w:val="32"/>
          <w:szCs w:val="32"/>
        </w:rPr>
        <w:t>生行政主管部门同意后，按照有关规定办理审批手续。</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在市区运行的交通运</w:t>
      </w:r>
      <w:r>
        <w:rPr>
          <w:rFonts w:hint="eastAsia" w:ascii="仿宋_GB2312" w:hAnsi="仿宋_GB2312" w:eastAsia="仿宋_GB2312" w:cs="仿宋_GB2312"/>
          <w:sz w:val="32"/>
          <w:szCs w:val="32"/>
        </w:rPr>
        <w:t>输工具，应当保持外型完好、整洁，货运车辆运输的液体、散装货物，应当密</w:t>
      </w:r>
      <w:r>
        <w:rPr>
          <w:rFonts w:ascii="Times New Roman" w:hAnsi="Times New Roman" w:eastAsia="仿宋_GB2312" w:cs="Times New Roman"/>
          <w:sz w:val="32"/>
          <w:szCs w:val="32"/>
        </w:rPr>
        <w:t>封、包扎、覆盖，避免泄漏、遗撒。</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w:t>
      </w:r>
      <w:r>
        <w:rPr>
          <w:rFonts w:ascii="Times New Roman" w:hAnsi="Times New Roman" w:eastAsia="仿宋_GB2312" w:cs="Times New Roman"/>
          <w:sz w:val="32"/>
          <w:szCs w:val="32"/>
        </w:rPr>
        <w:t>　城市的工程施工现场的材料、机具应当堆放整齐，渣土应当及时清运；临街工地应当设置护栏或者围布遮挡；停工场地应当及时整理并作必要的覆盖；竣工后，应当及时清理和平整场地。</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w:t>
      </w:r>
      <w:r>
        <w:rPr>
          <w:rFonts w:ascii="Times New Roman" w:hAnsi="Times New Roman" w:eastAsia="仿宋_GB2312" w:cs="Times New Roman"/>
          <w:sz w:val="32"/>
          <w:szCs w:val="32"/>
        </w:rPr>
        <w:t>　一切单位和个人，都不得在城市建筑物、设施以及树木上涂写、刻画。</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单位和个人在城市建筑物、设施上张挂、张贴宣传品等，须经城市人民政府市容环境卫生行政主管部门或者其他有关部门批准。</w:t>
      </w:r>
    </w:p>
    <w:p>
      <w:pPr>
        <w:pStyle w:val="3"/>
        <w:bidi w:val="0"/>
        <w:rPr>
          <w:szCs w:val="32"/>
        </w:rPr>
      </w:pPr>
      <w:r>
        <w:t>第三章　城市环境卫生管理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w:t>
      </w:r>
      <w:r>
        <w:rPr>
          <w:rFonts w:ascii="Times New Roman" w:hAnsi="Times New Roman" w:eastAsia="仿宋_GB2312" w:cs="Times New Roman"/>
          <w:sz w:val="32"/>
          <w:szCs w:val="32"/>
        </w:rPr>
        <w:t>　城市中的环境卫生设施，应当符合国家规定的城市环境卫生标准。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w:t>
      </w:r>
      <w:r>
        <w:rPr>
          <w:rFonts w:ascii="Times New Roman" w:hAnsi="Times New Roman" w:eastAsia="仿宋_GB2312" w:cs="Times New Roman"/>
          <w:sz w:val="32"/>
          <w:szCs w:val="32"/>
        </w:rPr>
        <w:t>　城市人民政府在进行城市新区开发或者旧区改造时，应当依照国家有关规定，建设生活废弃物的清扫、收集、运输和处理等环境卫生设施，所需经费应当纳入建设工程概算。</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w:t>
      </w:r>
      <w:r>
        <w:rPr>
          <w:rFonts w:ascii="Times New Roman" w:hAnsi="Times New Roman" w:eastAsia="仿宋_GB2312" w:cs="Times New Roman"/>
          <w:sz w:val="32"/>
          <w:szCs w:val="32"/>
        </w:rPr>
        <w:t>　城市人民政府市容环境卫生行政主管部门，应当根据城市居住人口密度和流动人口数量以及公共场所等特定地区的需要，制定公共厕所建设规划，并按照规定的标准，建设、改造或者支持有关单位建设、改造公共厕所。</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市人民政府市容环境卫生行政主管部门，应当配备专业人员或者委托有关单位和个人负责公共厕所的保洁和管理；有关单位和个人也可以承包公共厕所的保洁和管理。公共厕所的管理者可以适当收费，具体办法由省、自治区、直辖市人民政府制定。</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对不符合规定标准的公共厕所，城市人民政府应当责令有关单位限期改造。</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公共厕所的粪便应当</w:t>
      </w:r>
      <w:r>
        <w:rPr>
          <w:rFonts w:hint="eastAsia" w:ascii="仿宋_GB2312" w:hAnsi="仿宋_GB2312" w:eastAsia="仿宋_GB2312" w:cs="仿宋_GB2312"/>
          <w:sz w:val="32"/>
          <w:szCs w:val="32"/>
        </w:rPr>
        <w:t>排入贮(化)粪池或者城市污</w:t>
      </w:r>
      <w:r>
        <w:rPr>
          <w:rFonts w:ascii="Times New Roman" w:hAnsi="Times New Roman" w:eastAsia="仿宋_GB2312" w:cs="Times New Roman"/>
          <w:sz w:val="32"/>
          <w:szCs w:val="32"/>
        </w:rPr>
        <w:t>水系统。</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w:t>
      </w:r>
      <w:r>
        <w:rPr>
          <w:rFonts w:ascii="Times New Roman" w:hAnsi="Times New Roman" w:eastAsia="仿宋_GB2312" w:cs="Times New Roman"/>
          <w:sz w:val="32"/>
          <w:szCs w:val="32"/>
        </w:rPr>
        <w:t>　多层和高层建筑应当设置封闭式垃圾通道或者垃圾贮存设施，并修建清运车辆通道。</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城市街道两侧、居住区或者人流密集地区，应当设置封闭式垃圾容器、果皮箱等设施。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w:t>
      </w:r>
      <w:r>
        <w:rPr>
          <w:rFonts w:ascii="Times New Roman" w:hAnsi="Times New Roman" w:eastAsia="仿宋_GB2312" w:cs="Times New Roman"/>
          <w:sz w:val="32"/>
          <w:szCs w:val="32"/>
        </w:rPr>
        <w:t>　一切单位和个人都不得擅自拆除环境卫生设施；因建设需要必须拆除的，建设单位必须事先提出拆迁方案，报城市人民政府市容环境卫生行政主管部门批准。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w:t>
      </w:r>
      <w:r>
        <w:rPr>
          <w:rFonts w:ascii="Times New Roman" w:hAnsi="Times New Roman" w:eastAsia="仿宋_GB2312" w:cs="Times New Roman"/>
          <w:sz w:val="32"/>
          <w:szCs w:val="32"/>
        </w:rPr>
        <w:t>　按国家行政建制设立的市的主要街道、广场和公共水域的环境卫生，由环境卫生专业单位负责。</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居住区、街巷等地方，由街道办事处负责组织专人清扫保洁。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w:t>
      </w:r>
      <w:r>
        <w:rPr>
          <w:rFonts w:ascii="Times New Roman" w:hAnsi="Times New Roman" w:eastAsia="仿宋_GB2312" w:cs="Times New Roman"/>
          <w:sz w:val="32"/>
          <w:szCs w:val="32"/>
        </w:rPr>
        <w:t>　飞机场、火车站、公共汽车始末站、港口、影剧院、博物馆、展览馆、纪念馆</w:t>
      </w:r>
      <w:r>
        <w:rPr>
          <w:rFonts w:hint="eastAsia" w:ascii="仿宋_GB2312" w:hAnsi="仿宋_GB2312" w:eastAsia="仿宋_GB2312" w:cs="仿宋_GB2312"/>
          <w:sz w:val="32"/>
          <w:szCs w:val="32"/>
        </w:rPr>
        <w:t>、体育馆(场)和公园等公共场所</w:t>
      </w:r>
      <w:r>
        <w:rPr>
          <w:rFonts w:ascii="Times New Roman" w:hAnsi="Times New Roman" w:eastAsia="仿宋_GB2312" w:cs="Times New Roman"/>
          <w:sz w:val="32"/>
          <w:szCs w:val="32"/>
        </w:rPr>
        <w:t>，由本单位负责清扫保洁。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w:t>
      </w:r>
      <w:r>
        <w:rPr>
          <w:rFonts w:ascii="Times New Roman" w:hAnsi="Times New Roman" w:eastAsia="仿宋_GB2312" w:cs="Times New Roman"/>
          <w:sz w:val="32"/>
          <w:szCs w:val="32"/>
        </w:rPr>
        <w:t>　机关、团体、部队、企事业单位，应当按照城市人民政府市容环境卫生行政主管部门划分的卫生责任区负责清扫保洁。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ascii="Times New Roman" w:hAnsi="Times New Roman" w:eastAsia="仿宋_GB2312" w:cs="Times New Roman"/>
          <w:sz w:val="32"/>
          <w:szCs w:val="32"/>
        </w:rPr>
        <w:t>　城市集贸市场，</w:t>
      </w:r>
      <w:r>
        <w:rPr>
          <w:rFonts w:hint="eastAsia" w:ascii="仿宋_GB2312" w:hAnsi="仿宋_GB2312" w:eastAsia="仿宋_GB2312" w:cs="仿宋_GB2312"/>
          <w:sz w:val="32"/>
          <w:szCs w:val="32"/>
        </w:rPr>
        <w:t>由主管部门负责组织专人清扫保洁。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各种摊点，由从业者负责清扫保洁。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w:t>
      </w:r>
      <w:r>
        <w:rPr>
          <w:rFonts w:ascii="Times New Roman" w:hAnsi="Times New Roman" w:eastAsia="仿宋_GB2312" w:cs="Times New Roman"/>
          <w:sz w:val="32"/>
          <w:szCs w:val="32"/>
        </w:rPr>
        <w:t>　城市港口客货码头作业范围内的水面，由港口客货码头经营单位责成作业者清理保洁。</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在市区水域行驶或者停泊的各类船舶上的垃圾、粪便，由船上负责人依照规定处理。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w:t>
      </w:r>
      <w:r>
        <w:rPr>
          <w:rFonts w:ascii="Times New Roman" w:hAnsi="Times New Roman" w:eastAsia="仿宋_GB2312" w:cs="Times New Roman"/>
          <w:sz w:val="32"/>
          <w:szCs w:val="32"/>
        </w:rPr>
        <w:t>　城市人民政府市容环境卫生行政主管部门对城市生活废弃物的收集、运输和处理实施监督管理。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一切单位和个人，都应当依照城市人民政府市容环境卫生行政主管部门规定的时间、地点、方式，倾倒垃圾、粪便。</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对垃圾、粪便应当及时清运，并逐步做到垃圾、粪便的无害化处理和综合利用。</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对城市生活废弃物应当逐步做到分类收集、运输和处理。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第二十九条</w:t>
      </w:r>
      <w:r>
        <w:rPr>
          <w:rFonts w:ascii="Times New Roman" w:hAnsi="Times New Roman" w:eastAsia="仿宋_GB2312" w:cs="Times New Roman"/>
          <w:sz w:val="32"/>
          <w:szCs w:val="32"/>
        </w:rPr>
        <w:t>　环境卫生管理应当逐步实行社会化服务。有条件的城市，可以成立环境卫生服务公司。</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凡委托环境卫生专业单位清扫、收集、运输和处理废弃物的，应当交纳服务费。具体办法由省、自治区、直辖市人民政府制定。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第三十条</w:t>
      </w:r>
      <w:r>
        <w:rPr>
          <w:rFonts w:ascii="Times New Roman" w:hAnsi="Times New Roman" w:eastAsia="仿宋_GB2312" w:cs="Times New Roman"/>
          <w:sz w:val="32"/>
          <w:szCs w:val="32"/>
        </w:rPr>
        <w:t>　城市人民政府应当有计划地发展城市煤气、天然气、液化气，改变燃料结构；鼓励和支持有关部门组织净菜进城和回收利用废旧物资，减少城市垃圾。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第三十一条</w:t>
      </w:r>
      <w:r>
        <w:rPr>
          <w:rFonts w:ascii="Times New Roman" w:hAnsi="Times New Roman" w:eastAsia="仿宋_GB2312" w:cs="Times New Roman"/>
          <w:sz w:val="32"/>
          <w:szCs w:val="32"/>
        </w:rPr>
        <w:t>　医院、疗养院、屠宰场、生物制品厂产生的废弃物，必须依照有关规定处理。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第三十二条</w:t>
      </w:r>
      <w:r>
        <w:rPr>
          <w:rFonts w:ascii="Times New Roman" w:hAnsi="Times New Roman" w:eastAsia="仿宋_GB2312" w:cs="Times New Roman"/>
          <w:sz w:val="32"/>
          <w:szCs w:val="32"/>
        </w:rPr>
        <w:t>　公民应当爱护公共卫生环境，不随地吐痰、便溺，不乱扔果皮、纸屑和烟头等废弃物。</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第三十三条</w:t>
      </w:r>
      <w:r>
        <w:rPr>
          <w:rFonts w:ascii="Times New Roman" w:hAnsi="Times New Roman" w:eastAsia="仿宋_GB2312" w:cs="Times New Roman"/>
          <w:sz w:val="32"/>
          <w:szCs w:val="32"/>
        </w:rPr>
        <w:t>　按国家行政建制设立的市的市区内，禁止饲养鸡、鸭、鹅、兔、羊、猪等家畜家禽；因教学、科研以及其他特殊需要饲养的，须经其所在地城市人民政府市容环境卫生行政主管部门批准。</w:t>
      </w:r>
    </w:p>
    <w:p>
      <w:pPr>
        <w:pStyle w:val="3"/>
        <w:bidi w:val="0"/>
        <w:rPr>
          <w:szCs w:val="32"/>
        </w:rPr>
      </w:pPr>
      <w:r>
        <w:t>第四章　罚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ascii="Times New Roman" w:hAnsi="Times New Roman" w:eastAsia="仿宋_GB2312" w:cs="Times New Roman"/>
          <w:sz w:val="32"/>
          <w:szCs w:val="32"/>
        </w:rPr>
        <w:t>　有下列行为之一者，城市人民政府市容环境卫生行政主管部门或者其委托的单位除责令其纠正违法行为、采取补救措施外</w:t>
      </w:r>
      <w:r>
        <w:rPr>
          <w:rFonts w:hint="eastAsia" w:ascii="仿宋_GB2312" w:hAnsi="仿宋_GB2312" w:eastAsia="仿宋_GB2312" w:cs="仿宋_GB2312"/>
          <w:sz w:val="32"/>
          <w:szCs w:val="32"/>
        </w:rPr>
        <w:t>，可以并处警告、罚款：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(一)随地吐痰、便溺，乱扔果皮、纸屑和烟头等废弃物的；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(二)在城市建筑物、设施以及树木上涂写、刻画或者未经批准张挂、张贴宣传品等的；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(三)在城市人民政府规定的街道的临街建筑物的阳台和窗外，堆放、吊挂有碍市容的物品的；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(四)不按规定的时间、地点、方式，倾倒垃圾、粪便的；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(五)不履行卫生责任区清扫保洁义务或者不按规定清运、处</w:t>
      </w:r>
      <w:r>
        <w:rPr>
          <w:rFonts w:ascii="Times New Roman" w:hAnsi="Times New Roman" w:eastAsia="仿宋_GB2312" w:cs="Times New Roman"/>
          <w:sz w:val="32"/>
          <w:szCs w:val="32"/>
        </w:rPr>
        <w:t>理垃圾和粪</w:t>
      </w:r>
      <w:r>
        <w:rPr>
          <w:rFonts w:hint="eastAsia" w:ascii="仿宋_GB2312" w:hAnsi="仿宋_GB2312" w:eastAsia="仿宋_GB2312" w:cs="仿宋_GB2312"/>
          <w:sz w:val="32"/>
          <w:szCs w:val="32"/>
        </w:rPr>
        <w:t>便的；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(六)运输液体、散装货物不作密封、包扎、覆盖，造成泄漏、遗撒的；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(七)临街工地不设置护栏或者不作遮挡、停工场地不及时整理并作必要覆盖或者竣工后不及时清理和平整场地，影响市容和环境卫生的。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第三十五条</w:t>
      </w:r>
      <w:r>
        <w:rPr>
          <w:rFonts w:ascii="Times New Roman" w:hAnsi="Times New Roman" w:eastAsia="仿宋_GB2312" w:cs="Times New Roman"/>
          <w:sz w:val="32"/>
          <w:szCs w:val="32"/>
        </w:rPr>
        <w:t>　未经批准擅自饲养家畜家禽影响市容和环境卫生的，由城市人民政府市容环境卫生行政主管部门或者其委托的单位，责令其限期处理或者予以没收，并可处以罚款。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第三十六条</w:t>
      </w:r>
      <w:r>
        <w:rPr>
          <w:rFonts w:ascii="Times New Roman" w:hAnsi="Times New Roman" w:eastAsia="仿宋_GB2312" w:cs="Times New Roman"/>
          <w:sz w:val="32"/>
          <w:szCs w:val="32"/>
        </w:rPr>
        <w:t>　有下列行为之一者，由城市人民政府市容环境卫生行政主管部门或者其委托的单位责令其停止违法行为，限期清理、拆除或者采取其他补救措施，并可处以罚款：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(一)未经城市人民政府市容环境卫生行政主管部门同意，擅自设置大型户外广告，影响市容的；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(二)未经城市人民政府市容环境卫生行政主管部门批准，擅自在街道两侧和公共场地堆放物料，搭建建筑物、构筑物或者其他设施，影响市容的；</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(三)未经批准擅自拆除环境卫生设施或者未按批准的拆</w:t>
      </w:r>
      <w:r>
        <w:rPr>
          <w:rFonts w:ascii="Times New Roman" w:hAnsi="Times New Roman" w:eastAsia="仿宋_GB2312" w:cs="Times New Roman"/>
          <w:sz w:val="32"/>
          <w:szCs w:val="32"/>
        </w:rPr>
        <w:t>迁方案进行拆迁的。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第三十七条</w:t>
      </w:r>
      <w:r>
        <w:rPr>
          <w:rFonts w:ascii="Times New Roman" w:hAnsi="Times New Roman" w:eastAsia="仿宋_GB2312" w:cs="Times New Roman"/>
          <w:sz w:val="32"/>
          <w:szCs w:val="32"/>
        </w:rPr>
        <w:t>　凡不符合城市容貌标准、环境卫生标准的建筑物或者设施，由城市人民政府市容环境卫生行政主管部门会同城市规划行政主管部门，责令有关单位和个人限期改造或者拆除；逾期未改造或者未拆除的，经县级以上人民政府批准，由城市人民政府市容环境卫生行政主管部门或者城市规划行政主管部门组织强制拆除，并可处以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ascii="Times New Roman" w:hAnsi="Times New Roman" w:eastAsia="仿宋_GB2312" w:cs="Times New Roman"/>
          <w:sz w:val="32"/>
          <w:szCs w:val="32"/>
        </w:rPr>
        <w:t>　损坏各类环境卫生设施及其附属设施的，城市人民政府市容环境卫生行政主管部门或者其委托的单位除责令其恢复原状外，可以并处罚款</w:t>
      </w:r>
      <w:r>
        <w:rPr>
          <w:rFonts w:hint="eastAsia" w:ascii="仿宋_GB2312" w:hAnsi="仿宋_GB2312" w:eastAsia="仿宋_GB2312" w:cs="仿宋_GB2312"/>
          <w:sz w:val="32"/>
          <w:szCs w:val="32"/>
        </w:rPr>
        <w:t>；盗窃、损坏各类环境卫生设施及其附属设施，应当给予治安管理处罚的，依照《中华人民共和国治安管理处罚条例》的规定处罚；构成犯罪的，依法追究刑事责任。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第三十九条</w:t>
      </w:r>
      <w:r>
        <w:rPr>
          <w:rFonts w:ascii="Times New Roman" w:hAnsi="Times New Roman" w:eastAsia="仿宋_GB2312" w:cs="Times New Roman"/>
          <w:sz w:val="32"/>
          <w:szCs w:val="32"/>
        </w:rPr>
        <w:t>　侮辱、殴打市容和环境卫生工作人员或者阻挠其执行公务的，</w:t>
      </w:r>
      <w:r>
        <w:rPr>
          <w:rFonts w:hint="eastAsia" w:ascii="仿宋_GB2312" w:hAnsi="仿宋_GB2312" w:eastAsia="仿宋_GB2312" w:cs="仿宋_GB2312"/>
          <w:sz w:val="32"/>
          <w:szCs w:val="32"/>
        </w:rPr>
        <w:t>依照《中华人民共和国治安管理处罚条例》的</w:t>
      </w:r>
      <w:r>
        <w:rPr>
          <w:rFonts w:ascii="Times New Roman" w:hAnsi="Times New Roman" w:eastAsia="仿宋_GB2312" w:cs="Times New Roman"/>
          <w:sz w:val="32"/>
          <w:szCs w:val="32"/>
        </w:rPr>
        <w:t>规定处罚；构成犯罪的，依法追究刑事责任。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ascii="Times New Roman" w:hAnsi="Times New Roman" w:eastAsia="仿宋_GB2312" w:cs="Times New Roman"/>
          <w:sz w:val="32"/>
          <w:szCs w:val="32"/>
        </w:rPr>
        <w:t>　当事人对行政处罚决定不服的，可以自接到处罚通知之日起十五日内，向作出处罚决定机关的上一级机关申请复议；对复议决定不服的，可以自接到复议决定书之日起十五日内向人民法院起诉。当事人也可以自接到处罚通知之日起十五日内直接向人民法院起诉。期满不申请复议、也不向人民法院起诉、又不履行处</w:t>
      </w:r>
      <w:bookmarkStart w:id="0" w:name="_GoBack"/>
      <w:r>
        <w:rPr>
          <w:rFonts w:hint="eastAsia" w:ascii="仿宋_GB2312" w:hAnsi="仿宋_GB2312" w:eastAsia="仿宋_GB2312" w:cs="仿宋_GB2312"/>
          <w:sz w:val="32"/>
          <w:szCs w:val="32"/>
        </w:rPr>
        <w:t>罚决定的，由作出处罚决定的机关申请人民法院强制执行。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对治安管理处罚不服的，依照《中华人民共和国治安管理处罚条例》的规定办理。</w:t>
      </w:r>
    </w:p>
    <w:bookmarkEnd w:id="0"/>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第四十一条</w:t>
      </w:r>
      <w:r>
        <w:rPr>
          <w:rFonts w:ascii="Times New Roman" w:hAnsi="Times New Roman" w:eastAsia="仿宋_GB2312" w:cs="Times New Roman"/>
          <w:sz w:val="32"/>
          <w:szCs w:val="32"/>
        </w:rPr>
        <w:t>　城市人民政府市容环境卫生行政主管部门工作人员玩忽职守、滥用职权、徇私舞弊的，由其所在单位或者上级主管机关给予行政处分；构成犯罪的，依法追究刑事责任。</w:t>
      </w:r>
    </w:p>
    <w:p>
      <w:pPr>
        <w:pStyle w:val="3"/>
        <w:bidi w:val="0"/>
        <w:rPr>
          <w:szCs w:val="32"/>
        </w:rPr>
      </w:pPr>
      <w:r>
        <w:t>第五章　附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第四十二条</w:t>
      </w:r>
      <w:r>
        <w:rPr>
          <w:rFonts w:ascii="Times New Roman" w:hAnsi="Times New Roman" w:eastAsia="仿宋_GB2312" w:cs="Times New Roman"/>
          <w:sz w:val="32"/>
          <w:szCs w:val="32"/>
        </w:rPr>
        <w:t>　未设镇建制的城市型居民区可以参照本条例执行。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第四十三条</w:t>
      </w:r>
      <w:r>
        <w:rPr>
          <w:rFonts w:ascii="Times New Roman" w:hAnsi="Times New Roman" w:eastAsia="仿宋_GB2312" w:cs="Times New Roman"/>
          <w:sz w:val="32"/>
          <w:szCs w:val="32"/>
        </w:rPr>
        <w:t>　省、自治区、直辖市人民政府可以根据本条例制定实施办法。</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第四十四条</w:t>
      </w:r>
      <w:r>
        <w:rPr>
          <w:rFonts w:ascii="Times New Roman" w:hAnsi="Times New Roman" w:eastAsia="仿宋_GB2312" w:cs="Times New Roman"/>
          <w:sz w:val="32"/>
          <w:szCs w:val="32"/>
        </w:rPr>
        <w:t>　本条例由国务院城市建设行政主管部门负责解释。</w:t>
      </w:r>
    </w:p>
    <w:p>
      <w:pPr>
        <w:pStyle w:val="11"/>
        <w:ind w:firstLine="640" w:firstLineChars="200"/>
        <w:rPr>
          <w:rFonts w:hint="eastAsia"/>
          <w:lang w:val="en-US" w:eastAsia="zh-CN"/>
        </w:rPr>
      </w:pPr>
      <w:r>
        <w:rPr>
          <w:rFonts w:hint="eastAsia" w:ascii="方正黑体_GBK" w:hAnsi="方正黑体_GBK" w:eastAsia="方正黑体_GBK" w:cs="方正黑体_GBK"/>
          <w:sz w:val="32"/>
          <w:szCs w:val="32"/>
        </w:rPr>
        <w:t>第四十五条</w:t>
      </w:r>
      <w:r>
        <w:rPr>
          <w:rFonts w:ascii="Times New Roman" w:hAnsi="Times New Roman" w:eastAsia="仿宋_GB2312" w:cs="Times New Roman"/>
          <w:sz w:val="32"/>
          <w:szCs w:val="32"/>
        </w:rPr>
        <w:t>　本条例自一九九二年八月一日起施行。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C76CE9"/>
    <w:rsid w:val="051529ED"/>
    <w:rsid w:val="05220095"/>
    <w:rsid w:val="058213F7"/>
    <w:rsid w:val="05DE7F94"/>
    <w:rsid w:val="06083039"/>
    <w:rsid w:val="06A0228E"/>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E85B46"/>
    <w:rsid w:val="174517D7"/>
    <w:rsid w:val="18413C16"/>
    <w:rsid w:val="18452D92"/>
    <w:rsid w:val="18971E78"/>
    <w:rsid w:val="18B43502"/>
    <w:rsid w:val="18C776B0"/>
    <w:rsid w:val="198A0A54"/>
    <w:rsid w:val="19DB6C33"/>
    <w:rsid w:val="1A3209E2"/>
    <w:rsid w:val="1A8E3AF5"/>
    <w:rsid w:val="1ABC528A"/>
    <w:rsid w:val="1AC13CB4"/>
    <w:rsid w:val="1B2039C2"/>
    <w:rsid w:val="1B256F50"/>
    <w:rsid w:val="1BAF2172"/>
    <w:rsid w:val="1C6F6A7C"/>
    <w:rsid w:val="1C9212F7"/>
    <w:rsid w:val="1D1A78F5"/>
    <w:rsid w:val="1D7E4D7C"/>
    <w:rsid w:val="1F501AAA"/>
    <w:rsid w:val="1F850CB0"/>
    <w:rsid w:val="1FA75BB5"/>
    <w:rsid w:val="1FE16FBA"/>
    <w:rsid w:val="1FF628F6"/>
    <w:rsid w:val="1FFE59F4"/>
    <w:rsid w:val="206846D2"/>
    <w:rsid w:val="208F14A3"/>
    <w:rsid w:val="2096095A"/>
    <w:rsid w:val="20D86240"/>
    <w:rsid w:val="21CB6604"/>
    <w:rsid w:val="21CE0F2E"/>
    <w:rsid w:val="221D0BEA"/>
    <w:rsid w:val="22DD4281"/>
    <w:rsid w:val="23341BEE"/>
    <w:rsid w:val="24FA302F"/>
    <w:rsid w:val="253620CC"/>
    <w:rsid w:val="25636DDB"/>
    <w:rsid w:val="25690A08"/>
    <w:rsid w:val="25981EEB"/>
    <w:rsid w:val="25BF3D61"/>
    <w:rsid w:val="25F044FF"/>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64F705A"/>
    <w:rsid w:val="374457C8"/>
    <w:rsid w:val="37BE1588"/>
    <w:rsid w:val="37D83957"/>
    <w:rsid w:val="37EB78B4"/>
    <w:rsid w:val="386D21AD"/>
    <w:rsid w:val="387E7233"/>
    <w:rsid w:val="38851898"/>
    <w:rsid w:val="388D0D28"/>
    <w:rsid w:val="38F1480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B2E2D61"/>
    <w:rsid w:val="4BED77F7"/>
    <w:rsid w:val="4CA941E6"/>
    <w:rsid w:val="4CC93DFA"/>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08A8"/>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E5F27"/>
    <w:rsid w:val="566F7832"/>
    <w:rsid w:val="56E0027A"/>
    <w:rsid w:val="56E91124"/>
    <w:rsid w:val="575D4E2E"/>
    <w:rsid w:val="577F6B33"/>
    <w:rsid w:val="58035B31"/>
    <w:rsid w:val="582D45D3"/>
    <w:rsid w:val="58F46356"/>
    <w:rsid w:val="58F6185E"/>
    <w:rsid w:val="591257DC"/>
    <w:rsid w:val="59C87720"/>
    <w:rsid w:val="5AB91E0A"/>
    <w:rsid w:val="5ACD03CB"/>
    <w:rsid w:val="5B353B99"/>
    <w:rsid w:val="5B6D42C1"/>
    <w:rsid w:val="5B903325"/>
    <w:rsid w:val="5BCD3584"/>
    <w:rsid w:val="5C223266"/>
    <w:rsid w:val="5D0B40ED"/>
    <w:rsid w:val="5D101449"/>
    <w:rsid w:val="5D5B758E"/>
    <w:rsid w:val="5D663F23"/>
    <w:rsid w:val="5DB22BFD"/>
    <w:rsid w:val="5DC97723"/>
    <w:rsid w:val="5DD739B2"/>
    <w:rsid w:val="5E8907C8"/>
    <w:rsid w:val="5E900D37"/>
    <w:rsid w:val="5F5011B7"/>
    <w:rsid w:val="5F575403"/>
    <w:rsid w:val="5F741CFE"/>
    <w:rsid w:val="5F88093C"/>
    <w:rsid w:val="5F927ABC"/>
    <w:rsid w:val="5F943BF1"/>
    <w:rsid w:val="5FAD5C1F"/>
    <w:rsid w:val="5FDB251D"/>
    <w:rsid w:val="60492E1B"/>
    <w:rsid w:val="60697C85"/>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4616D2"/>
    <w:rsid w:val="65532802"/>
    <w:rsid w:val="65BF6566"/>
    <w:rsid w:val="661A0218"/>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BF01A4B"/>
    <w:rsid w:val="6C267EB4"/>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70796813"/>
    <w:rsid w:val="70817970"/>
    <w:rsid w:val="709949F1"/>
    <w:rsid w:val="712B5699"/>
    <w:rsid w:val="71DE60AD"/>
    <w:rsid w:val="721D116E"/>
    <w:rsid w:val="72A30A90"/>
    <w:rsid w:val="72AE5309"/>
    <w:rsid w:val="72C042BE"/>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56146B"/>
    <w:rsid w:val="77AD03FC"/>
    <w:rsid w:val="77D8678E"/>
    <w:rsid w:val="77D9199A"/>
    <w:rsid w:val="77FF68F3"/>
    <w:rsid w:val="78061DFD"/>
    <w:rsid w:val="7814798C"/>
    <w:rsid w:val="7819740D"/>
    <w:rsid w:val="781E454A"/>
    <w:rsid w:val="789F59B2"/>
    <w:rsid w:val="78DE7FEC"/>
    <w:rsid w:val="78E10B53"/>
    <w:rsid w:val="78ED2B64"/>
    <w:rsid w:val="796E7B9B"/>
    <w:rsid w:val="79A7191C"/>
    <w:rsid w:val="7A224A32"/>
    <w:rsid w:val="7A4B0114"/>
    <w:rsid w:val="7A6D55E9"/>
    <w:rsid w:val="7ABD49CD"/>
    <w:rsid w:val="7ADE2DE7"/>
    <w:rsid w:val="7BA85469"/>
    <w:rsid w:val="7BAB0BDF"/>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64</Words>
  <Characters>80</Characters>
  <Lines>69</Lines>
  <Paragraphs>19</Paragraphs>
  <TotalTime>1</TotalTime>
  <ScaleCrop>false</ScaleCrop>
  <LinksUpToDate>false</LinksUpToDate>
  <CharactersWithSpaces>82</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2022-05-22T10:57:26Z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