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44"/>
          <w:szCs w:val="44"/>
        </w:rPr>
      </w:pPr>
      <w:bookmarkStart w:id="0" w:name="_GoBack"/>
      <w:bookmarkEnd w:id="0"/>
    </w:p>
    <w:p>
      <w:pPr>
        <w:pStyle w:val="11"/>
        <w:jc w:val="center"/>
        <w:rPr>
          <w:rFonts w:hint="eastAsia" w:asciiTheme="majorEastAsia" w:hAnsiTheme="majorEastAsia" w:eastAsiaTheme="majorEastAsia" w:cstheme="majorEastAsia"/>
          <w:color w:val="auto"/>
          <w:sz w:val="44"/>
          <w:szCs w:val="44"/>
        </w:rPr>
      </w:pPr>
      <w:r>
        <w:rPr>
          <w:rFonts w:hint="eastAsia" w:asciiTheme="majorEastAsia" w:hAnsiTheme="majorEastAsia" w:eastAsiaTheme="majorEastAsia" w:cstheme="majorEastAsia"/>
          <w:color w:val="auto"/>
          <w:sz w:val="44"/>
          <w:szCs w:val="44"/>
        </w:rPr>
        <w:t>城市绿化条例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color w:val="auto"/>
          <w:spacing w:val="0"/>
          <w:sz w:val="32"/>
          <w:szCs w:val="32"/>
          <w:lang w:val="en-US" w:eastAsia="zh-CN"/>
        </w:rPr>
      </w:pPr>
      <w:r>
        <w:rPr>
          <w:rFonts w:hint="eastAsia" w:ascii="楷体_GB2312" w:hAnsi="楷体_GB2312" w:eastAsia="楷体_GB2312" w:cs="楷体_GB2312"/>
          <w:b w:val="0"/>
          <w:bCs w:val="0"/>
          <w:color w:val="auto"/>
          <w:spacing w:val="0"/>
          <w:sz w:val="32"/>
          <w:szCs w:val="32"/>
        </w:rPr>
        <w:t>(1992</w:t>
      </w:r>
      <w:r>
        <w:rPr>
          <w:rFonts w:hint="eastAsia" w:ascii="楷体_GB2312" w:hAnsi="楷体_GB2312" w:eastAsia="楷体_GB2312" w:cs="楷体_GB2312"/>
          <w:b w:val="0"/>
          <w:bCs w:val="0"/>
          <w:color w:val="auto"/>
          <w:spacing w:val="-6"/>
          <w:sz w:val="32"/>
          <w:szCs w:val="32"/>
        </w:rPr>
        <w:t>年6月22日中</w:t>
      </w:r>
      <w:r>
        <w:rPr>
          <w:rFonts w:hint="eastAsia" w:ascii="楷体_GB2312" w:hAnsi="楷体_GB2312" w:eastAsia="楷体_GB2312" w:cs="楷体_GB2312"/>
          <w:b w:val="0"/>
          <w:bCs w:val="0"/>
          <w:color w:val="auto"/>
          <w:spacing w:val="-6"/>
          <w:sz w:val="32"/>
          <w:szCs w:val="32"/>
        </w:rPr>
        <w:t>华人民共和国</w:t>
      </w:r>
      <w:r>
        <w:rPr>
          <w:rFonts w:hint="eastAsia" w:ascii="楷体_GB2312" w:hAnsi="楷体_GB2312" w:eastAsia="楷体_GB2312" w:cs="楷体_GB2312"/>
          <w:b w:val="0"/>
          <w:bCs w:val="0"/>
          <w:color w:val="auto"/>
          <w:spacing w:val="-6"/>
          <w:sz w:val="32"/>
          <w:szCs w:val="32"/>
        </w:rPr>
        <w:t>国务院令第100号发布　</w:t>
      </w:r>
      <w:r>
        <w:rPr>
          <w:rFonts w:hint="eastAsia" w:ascii="楷体_GB2312" w:hAnsi="楷体_GB2312" w:eastAsia="楷体_GB2312" w:cs="楷体_GB2312"/>
          <w:b w:val="0"/>
          <w:bCs w:val="0"/>
          <w:color w:val="auto"/>
          <w:spacing w:val="0"/>
          <w:sz w:val="32"/>
          <w:szCs w:val="32"/>
        </w:rPr>
        <w:t>根据2011年1月8日《国务院关于废止和修改部分行政法规的决定》修订</w:t>
      </w:r>
      <w:r>
        <w:rPr>
          <w:rFonts w:hint="eastAsia" w:ascii="楷体_GB2312" w:hAnsi="楷体_GB2312" w:eastAsia="楷体_GB2312" w:cs="楷体_GB2312"/>
          <w:b w:val="0"/>
          <w:bCs w:val="0"/>
          <w:color w:val="auto"/>
          <w:spacing w:val="0"/>
          <w:sz w:val="32"/>
          <w:szCs w:val="32"/>
          <w:lang w:val="en-US" w:eastAsia="zh-CN"/>
        </w:rPr>
        <w:t>)</w:t>
      </w:r>
    </w:p>
    <w:p>
      <w:pPr>
        <w:pStyle w:val="3"/>
        <w:rPr>
          <w:color w:val="auto"/>
          <w:sz w:val="32"/>
          <w:szCs w:val="32"/>
        </w:rPr>
      </w:pPr>
      <w:r>
        <w:rPr>
          <w:rFonts w:ascii="Times New Roman" w:hAnsi="Times New Roman" w:cs="Times New Roman"/>
          <w:color w:val="auto"/>
          <w:sz w:val="32"/>
          <w:szCs w:val="32"/>
        </w:rPr>
        <w:t>第一章　总　　则</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第一条　</w:t>
      </w:r>
      <w:r>
        <w:rPr>
          <w:rFonts w:ascii="Times New Roman" w:hAnsi="Times New Roman" w:eastAsia="仿宋_GB2312" w:cs="Times New Roman"/>
          <w:color w:val="auto"/>
          <w:sz w:val="32"/>
          <w:szCs w:val="32"/>
        </w:rPr>
        <w:t>为了促进城市绿化事业的发展，改善生态环境，美化生活环境，增进人民身心健康，制定本条例。</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第二条　</w:t>
      </w:r>
      <w:r>
        <w:rPr>
          <w:rFonts w:ascii="Times New Roman" w:hAnsi="Times New Roman" w:eastAsia="仿宋_GB2312" w:cs="Times New Roman"/>
          <w:color w:val="auto"/>
          <w:sz w:val="32"/>
          <w:szCs w:val="32"/>
        </w:rPr>
        <w:t>本条例适用于在城市规划区内种植和养护树木花草等城市绿化的规划、建设、保护和管理。</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第三条　</w:t>
      </w:r>
      <w:r>
        <w:rPr>
          <w:rFonts w:ascii="Times New Roman" w:hAnsi="Times New Roman" w:eastAsia="仿宋_GB2312" w:cs="Times New Roman"/>
          <w:color w:val="auto"/>
          <w:sz w:val="32"/>
          <w:szCs w:val="32"/>
        </w:rPr>
        <w:t>城市人民政府应当把城市绿化建设纳入国民经济和社会发展计划。</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第四条　</w:t>
      </w:r>
      <w:r>
        <w:rPr>
          <w:rFonts w:ascii="Times New Roman" w:hAnsi="Times New Roman" w:eastAsia="仿宋_GB2312" w:cs="Times New Roman"/>
          <w:color w:val="auto"/>
          <w:sz w:val="32"/>
          <w:szCs w:val="32"/>
        </w:rPr>
        <w:t>国家鼓励和加强城市绿化的科学研究，推广先进技术，提高城市绿化的科学技术和艺术水平。</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第五条　</w:t>
      </w:r>
      <w:r>
        <w:rPr>
          <w:rFonts w:ascii="Times New Roman" w:hAnsi="Times New Roman" w:eastAsia="仿宋_GB2312" w:cs="Times New Roman"/>
          <w:color w:val="auto"/>
          <w:sz w:val="32"/>
          <w:szCs w:val="32"/>
        </w:rPr>
        <w:t>城市中的单位和有劳动能力的公民，应当依照国家有关规定履行植树或者其他绿化义务。</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第六条　</w:t>
      </w:r>
      <w:r>
        <w:rPr>
          <w:rFonts w:ascii="Times New Roman" w:hAnsi="Times New Roman" w:eastAsia="仿宋_GB2312" w:cs="Times New Roman"/>
          <w:color w:val="auto"/>
          <w:sz w:val="32"/>
          <w:szCs w:val="32"/>
        </w:rPr>
        <w:t>对在城市绿化工作中成绩显著的单位和个人，由人民政府给予表彰和奖励。</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第七条　</w:t>
      </w:r>
      <w:r>
        <w:rPr>
          <w:rFonts w:ascii="Times New Roman" w:hAnsi="Times New Roman" w:eastAsia="仿宋_GB2312" w:cs="Times New Roman"/>
          <w:color w:val="auto"/>
          <w:sz w:val="32"/>
          <w:szCs w:val="32"/>
        </w:rPr>
        <w:t>国务院设立全国绿化委员会，统一组织领导全国城乡绿化工作，其办公室设在国务院林业行政主管部门。</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国务院城市建设行政主管部门和国务院林业行政主管部门等，按照国务院规定的职权划分，负责全国城市绿化工作。</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地方绿化管理体制，由省、自治区、直辖市人民政府根据本地实际情况规定。</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城市人民政府城市绿化行政主管部门主管本行政区域内城市规划区的城市绿化工作。</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在城市规划区内，有关法律、法规规定由林业行政主管部门等管理的绿化工作，依照有关法律、法规执行。</w:t>
      </w:r>
    </w:p>
    <w:p>
      <w:pPr>
        <w:pStyle w:val="3"/>
        <w:bidi w:val="0"/>
        <w:rPr>
          <w:color w:val="auto"/>
          <w:szCs w:val="32"/>
        </w:rPr>
      </w:pPr>
      <w:r>
        <w:rPr>
          <w:color w:val="auto"/>
        </w:rPr>
        <w:t>第二章　规划和建设</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第八条　</w:t>
      </w:r>
      <w:r>
        <w:rPr>
          <w:rFonts w:ascii="Times New Roman" w:hAnsi="Times New Roman" w:eastAsia="仿宋_GB2312" w:cs="Times New Roman"/>
          <w:color w:val="auto"/>
          <w:sz w:val="32"/>
          <w:szCs w:val="32"/>
        </w:rPr>
        <w:t>城市人民政府应当组织城市规划行政主管部门和城市绿化行政主管部门等共同编制城市绿化规划，并纳入城市总体规划。</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第九条　</w:t>
      </w:r>
      <w:r>
        <w:rPr>
          <w:rFonts w:ascii="Times New Roman" w:hAnsi="Times New Roman" w:eastAsia="仿宋_GB2312" w:cs="Times New Roman"/>
          <w:color w:val="auto"/>
          <w:sz w:val="32"/>
          <w:szCs w:val="32"/>
        </w:rPr>
        <w:t>城市绿化规划应当从实际出发，根据城市发展需要，合理安排同城市人口和城市面积相适应的城市绿化用地面积。</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城市人均公共绿地面积和绿化覆盖率等规划指标，由国务院城市建设行政主管部门根据不同城市的性质、规模和自然条件等实际情况规定。</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第十条　</w:t>
      </w:r>
      <w:r>
        <w:rPr>
          <w:rFonts w:ascii="Times New Roman" w:hAnsi="Times New Roman" w:eastAsia="仿宋_GB2312" w:cs="Times New Roman"/>
          <w:color w:val="auto"/>
          <w:sz w:val="32"/>
          <w:szCs w:val="32"/>
        </w:rPr>
        <w:t>城市绿化规划应当根据当地的特点，利用原有的地形、地貌、水体、植被和历史文化遗址等自然、人文条件，以方便群众为原则，合理设置公共绿地、居住区绿地、防护绿地、生产绿地和风景林地等。</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第十一条　</w:t>
      </w:r>
      <w:r>
        <w:rPr>
          <w:rFonts w:ascii="Times New Roman" w:hAnsi="Times New Roman" w:eastAsia="仿宋_GB2312" w:cs="Times New Roman"/>
          <w:color w:val="auto"/>
          <w:sz w:val="32"/>
          <w:szCs w:val="32"/>
        </w:rPr>
        <w:t>城市绿化工程的设计，应当委托持有相应资格证书的设计单位承担。</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工程建设项目的附属绿化工程设计方案，按照基本建设程序审批时，必须有城市人民政府城市绿化行政主管部门参加审查。</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城市的公共绿地、居住区绿地、风景林地和干道绿化带等绿化工程的设计方案，必须按照规定报城市人民政府城市绿化行政主管部门或者其上级行政主管部门审批。</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建设单位必须按照批准的设计方案进行施工。设计方案确需改变时，须经原批准机关审批。</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第十二条　</w:t>
      </w:r>
      <w:r>
        <w:rPr>
          <w:rFonts w:ascii="Times New Roman" w:hAnsi="Times New Roman" w:eastAsia="仿宋_GB2312" w:cs="Times New Roman"/>
          <w:color w:val="auto"/>
          <w:sz w:val="32"/>
          <w:szCs w:val="32"/>
        </w:rPr>
        <w:t>城市绿化工程的设计，应当借鉴国内外先进经验，体现民族风格和地方特色。城市公共绿地和居住区绿地的建设，应当以植物造景为主，选用适合当地自然条件的树木花草，并适当配置泉、石、雕塑等景物。</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第十三条　</w:t>
      </w:r>
      <w:r>
        <w:rPr>
          <w:rFonts w:ascii="Times New Roman" w:hAnsi="Times New Roman" w:eastAsia="仿宋_GB2312" w:cs="Times New Roman"/>
          <w:color w:val="auto"/>
          <w:sz w:val="32"/>
          <w:szCs w:val="32"/>
        </w:rPr>
        <w:t>城市绿化规划应当因地制宜地规划不同类型的防护绿地。各有关单位应当依照国家有关规定，负责本单位管界内防护绿地的绿化建设。</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第十四条　</w:t>
      </w:r>
      <w:r>
        <w:rPr>
          <w:rFonts w:ascii="Times New Roman" w:hAnsi="Times New Roman" w:eastAsia="仿宋_GB2312" w:cs="Times New Roman"/>
          <w:color w:val="auto"/>
          <w:sz w:val="32"/>
          <w:szCs w:val="32"/>
        </w:rPr>
        <w:t>单位附属绿地的绿化规划和建设，由该单位自行负责，城市人民政府城市绿化行政主管部门应当监督检查，并给予技术指导。</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第十五条　</w:t>
      </w:r>
      <w:r>
        <w:rPr>
          <w:rFonts w:ascii="Times New Roman" w:hAnsi="Times New Roman" w:eastAsia="仿宋_GB2312" w:cs="Times New Roman"/>
          <w:color w:val="auto"/>
          <w:sz w:val="32"/>
          <w:szCs w:val="32"/>
        </w:rPr>
        <w:t>城市苗圃、草圃、花圃等生产绿地的建设，应当适应城市绿化建设的需要。</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第十六条　</w:t>
      </w:r>
      <w:r>
        <w:rPr>
          <w:rFonts w:ascii="Times New Roman" w:hAnsi="Times New Roman" w:eastAsia="仿宋_GB2312" w:cs="Times New Roman"/>
          <w:color w:val="auto"/>
          <w:spacing w:val="-6"/>
          <w:sz w:val="32"/>
          <w:szCs w:val="32"/>
        </w:rPr>
        <w:t>城市绿化工程的施工，应当委托持有相应资格证书的单位承担。绿化工程竣工后，应当经城市人民政府城市绿化行政主管部门或</w:t>
      </w:r>
      <w:r>
        <w:rPr>
          <w:rFonts w:ascii="Times New Roman" w:hAnsi="Times New Roman" w:eastAsia="仿宋_GB2312" w:cs="Times New Roman"/>
          <w:color w:val="auto"/>
          <w:sz w:val="32"/>
          <w:szCs w:val="32"/>
        </w:rPr>
        <w:t>者该工程的主管部门验收合格后，方可交付使用。</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第十七条　</w:t>
      </w:r>
      <w:r>
        <w:rPr>
          <w:rFonts w:ascii="Times New Roman" w:hAnsi="Times New Roman" w:eastAsia="仿宋_GB2312" w:cs="Times New Roman"/>
          <w:color w:val="auto"/>
          <w:sz w:val="32"/>
          <w:szCs w:val="32"/>
        </w:rPr>
        <w:t>城市新建、扩建、改建工程项目和开发住宅区项目，需要绿化的，其基本建设投资中应当包括配套的绿化建设投资，并统一安排绿化工程施工，在规定的期限内完成绿化任务。</w:t>
      </w:r>
    </w:p>
    <w:p>
      <w:pPr>
        <w:pStyle w:val="3"/>
        <w:bidi w:val="0"/>
        <w:rPr>
          <w:color w:val="auto"/>
          <w:szCs w:val="32"/>
        </w:rPr>
      </w:pPr>
      <w:r>
        <w:rPr>
          <w:color w:val="auto"/>
        </w:rPr>
        <w:t>第三章　保护和管理</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第十八条　</w:t>
      </w:r>
      <w:r>
        <w:rPr>
          <w:rFonts w:ascii="Times New Roman" w:hAnsi="Times New Roman" w:eastAsia="仿宋_GB2312" w:cs="Times New Roman"/>
          <w:color w:val="auto"/>
          <w:sz w:val="32"/>
          <w:szCs w:val="32"/>
        </w:rPr>
        <w:t>城市的公共绿地、风景林地、防护绿地、行道树及干道绿化带的绿化，由城市人民政府城市绿化行政主管部门管理；各单位管界内的防护绿地的绿化，由该单位按照国家有关规定管理；单位自建的公园和单位附属绿地的绿化，由该单位管理；居住区绿地的绿化，由城市人民政府城市绿化行政主管部门根据实际情况确定的单位管理；城市苗圃、草圃和花圃等，由其经营单位管理。</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第十九条　</w:t>
      </w:r>
      <w:r>
        <w:rPr>
          <w:rFonts w:ascii="Times New Roman" w:hAnsi="Times New Roman" w:eastAsia="仿宋_GB2312" w:cs="Times New Roman"/>
          <w:color w:val="auto"/>
          <w:sz w:val="32"/>
          <w:szCs w:val="32"/>
        </w:rPr>
        <w:t>任何单位和个人都不得擅自改变城市绿化规划用地性质或者破坏绿化规划用地的地形、地貌、水体和植被。</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第二十条　</w:t>
      </w:r>
      <w:r>
        <w:rPr>
          <w:rFonts w:ascii="Times New Roman" w:hAnsi="Times New Roman" w:eastAsia="仿宋_GB2312" w:cs="Times New Roman"/>
          <w:color w:val="auto"/>
          <w:sz w:val="32"/>
          <w:szCs w:val="32"/>
        </w:rPr>
        <w:t>任何单位和个人都不得擅自占用城市绿化用地；占用的城市绿化用地，应当限期归还。</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因建设或者其他特殊需要临时占用城市绿化用地，须经城市人民政府城市绿化行政主管部门同意，并按照有关规定办理临时用地手续。</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第二十一条　</w:t>
      </w:r>
      <w:r>
        <w:rPr>
          <w:rFonts w:ascii="Times New Roman" w:hAnsi="Times New Roman" w:eastAsia="仿宋_GB2312" w:cs="Times New Roman"/>
          <w:color w:val="auto"/>
          <w:sz w:val="32"/>
          <w:szCs w:val="32"/>
        </w:rPr>
        <w:t>任何单位和个人都不得损坏城市树木花草和绿化设施。</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砍伐城市树木，必须经城市人民政府城市绿化行政主管部门批准，并按照国家有关规定补植树木或者采取其他补救措施。</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第二十二条　</w:t>
      </w:r>
      <w:r>
        <w:rPr>
          <w:rFonts w:ascii="Times New Roman" w:hAnsi="Times New Roman" w:eastAsia="仿宋_GB2312" w:cs="Times New Roman"/>
          <w:color w:val="auto"/>
          <w:sz w:val="32"/>
          <w:szCs w:val="32"/>
        </w:rPr>
        <w:t>在城市的公共绿地内开设商业、服务摊点的，必须向公共绿地管理单位提出申请，经城市人民政府城市绿化行政主管部门或者其授权的单位同意后，持工商行政管理部门批准的营业执照，在公共绿地管理单位指定的地点从事经营活动，并遵守公共绿地和工商行政管理的规定。</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第二十三条　</w:t>
      </w:r>
      <w:r>
        <w:rPr>
          <w:rFonts w:ascii="Times New Roman" w:hAnsi="Times New Roman" w:eastAsia="仿宋_GB2312" w:cs="Times New Roman"/>
          <w:color w:val="auto"/>
          <w:sz w:val="32"/>
          <w:szCs w:val="32"/>
        </w:rPr>
        <w:t>城市的绿地管理单位，应当建立、健全管理制度，保持树木花草繁茂及绿化设施完好。</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第二十四条　</w:t>
      </w:r>
      <w:r>
        <w:rPr>
          <w:rFonts w:ascii="Times New Roman" w:hAnsi="Times New Roman" w:eastAsia="仿宋_GB2312" w:cs="Times New Roman"/>
          <w:color w:val="auto"/>
          <w:sz w:val="32"/>
          <w:szCs w:val="32"/>
        </w:rPr>
        <w:t>为保证管线的安全使用需要修剪树木时，必须经城市人民政府城市绿化行政主管部门批准，按照兼顾管线安全使用和树木正常生长的原则进行修剪。承担修剪费用的办法，由城市人民政府规定。</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因不可抗力致使树木倾斜危及管线安全时，管线管理单位可以先行修剪、扶正或者砍伐树木，但是，应当及时报告城市人民政府城市绿化行政主管部门和绿地管理单位。</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第二十五条　</w:t>
      </w:r>
      <w:r>
        <w:rPr>
          <w:rFonts w:ascii="Times New Roman" w:hAnsi="Times New Roman" w:eastAsia="仿宋_GB2312" w:cs="Times New Roman"/>
          <w:color w:val="auto"/>
          <w:sz w:val="32"/>
          <w:szCs w:val="32"/>
        </w:rPr>
        <w:t>百年以上树龄的树木，稀有、珍贵树木，具有历史价值或者重要纪念意义的树木，均属古树名木。</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p>
    <w:p>
      <w:pPr>
        <w:pStyle w:val="11"/>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严禁砍伐或者迁移古树名木。因特殊需要迁移古树名木，必须经城市人民政府城市绿化行政主管部门审查同意，并报同级或者上级人民政府批准。</w:t>
      </w:r>
    </w:p>
    <w:p>
      <w:pPr>
        <w:pStyle w:val="3"/>
        <w:bidi w:val="0"/>
        <w:rPr>
          <w:color w:val="auto"/>
          <w:szCs w:val="32"/>
        </w:rPr>
      </w:pPr>
      <w:r>
        <w:rPr>
          <w:color w:val="auto"/>
        </w:rPr>
        <w:t>第四章　罚　　则</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第二十六条　</w:t>
      </w:r>
      <w:r>
        <w:rPr>
          <w:rFonts w:ascii="Times New Roman" w:hAnsi="Times New Roman" w:eastAsia="仿宋_GB2312" w:cs="Times New Roman"/>
          <w:color w:val="auto"/>
          <w:sz w:val="32"/>
          <w:szCs w:val="32"/>
        </w:rPr>
        <w:t>工程建设项目的附属绿化工程设计方案或者城市的公共绿地、居住区绿地、风景林地和干道绿化带等绿化工程的设计方案，未经批准或者未按照批准的设计方案施工的，由城市人民政府城市绿化行政主管部门责令停止施工、限期改正或者采取其他补救措施。</w:t>
      </w:r>
    </w:p>
    <w:p>
      <w:pPr>
        <w:pStyle w:val="11"/>
        <w:ind w:firstLine="640" w:firstLineChars="200"/>
        <w:rPr>
          <w:rFonts w:hint="eastAsia"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第二十七条　</w:t>
      </w:r>
      <w:r>
        <w:rPr>
          <w:rFonts w:ascii="Times New Roman" w:hAnsi="Times New Roman" w:eastAsia="仿宋_GB2312" w:cs="Times New Roman"/>
          <w:color w:val="auto"/>
          <w:sz w:val="32"/>
          <w:szCs w:val="32"/>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w:t>
      </w:r>
      <w:r>
        <w:rPr>
          <w:rFonts w:hint="eastAsia" w:ascii="仿宋_GB2312" w:hAnsi="仿宋_GB2312" w:eastAsia="仿宋_GB2312" w:cs="仿宋_GB2312"/>
          <w:color w:val="auto"/>
          <w:sz w:val="32"/>
          <w:szCs w:val="32"/>
        </w:rPr>
        <w:t>罚；构成犯罪的，依法追究刑事责任：</w:t>
      </w:r>
    </w:p>
    <w:p>
      <w:pPr>
        <w:pStyle w:val="11"/>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(一)损坏城市树木花草的；</w:t>
      </w:r>
    </w:p>
    <w:p>
      <w:pPr>
        <w:pStyle w:val="11"/>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(二)擅自修剪或者砍伐城市树木的；</w:t>
      </w:r>
    </w:p>
    <w:p>
      <w:pPr>
        <w:pStyle w:val="11"/>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(三)砍伐、擅自迁移古树名木或者因养护不善致使古树名木受到损伤或者死亡的；</w:t>
      </w:r>
    </w:p>
    <w:p>
      <w:pPr>
        <w:pStyle w:val="11"/>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(四)损坏城市绿化设施的。</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第二十八条　</w:t>
      </w:r>
      <w:r>
        <w:rPr>
          <w:rFonts w:ascii="Times New Roman" w:hAnsi="Times New Roman" w:eastAsia="仿宋_GB2312" w:cs="Times New Roman"/>
          <w:color w:val="auto"/>
          <w:sz w:val="32"/>
          <w:szCs w:val="32"/>
        </w:rPr>
        <w:t>未经同意擅自占用城市绿化用地的，由城市人民政府城市绿化行政主管部门责令限期退还、恢复原状，可以并处罚款；造成损失的，应当负赔偿责任。</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第二十九条　</w:t>
      </w:r>
      <w:r>
        <w:rPr>
          <w:rFonts w:ascii="Times New Roman" w:hAnsi="Times New Roman" w:eastAsia="仿宋_GB2312" w:cs="Times New Roman"/>
          <w:color w:val="auto"/>
          <w:sz w:val="32"/>
          <w:szCs w:val="32"/>
        </w:rPr>
        <w:t>未经同意擅自在城市公共绿地内开设商业、服务摊点的，由城市人民政府城市绿化行政主管部门或者其授权的单位责令限期迁出或者拆除，可以并处罚款；造成损失的，应当负赔偿责任。</w:t>
      </w:r>
    </w:p>
    <w:p>
      <w:pPr>
        <w:pStyle w:val="11"/>
        <w:ind w:firstLine="640" w:firstLineChars="200"/>
        <w:rPr>
          <w:rFonts w:hint="eastAsia" w:ascii="仿宋_GB2312" w:hAnsi="仿宋_GB2312" w:eastAsia="仿宋_GB2312" w:cs="仿宋_GB2312"/>
          <w:color w:val="auto"/>
          <w:sz w:val="32"/>
          <w:szCs w:val="32"/>
        </w:rPr>
      </w:pPr>
      <w:r>
        <w:rPr>
          <w:rFonts w:ascii="Times New Roman" w:hAnsi="Times New Roman" w:eastAsia="仿宋_GB2312" w:cs="Times New Roman"/>
          <w:color w:val="auto"/>
          <w:sz w:val="32"/>
          <w:szCs w:val="32"/>
        </w:rPr>
        <w:t>对不服从公共绿地管理单位管理的商业、服务摊点，由城市人民政府城市绿</w:t>
      </w:r>
      <w:r>
        <w:rPr>
          <w:rFonts w:hint="eastAsia" w:ascii="仿宋_GB2312" w:hAnsi="仿宋_GB2312" w:eastAsia="仿宋_GB2312" w:cs="仿宋_GB2312"/>
          <w:color w:val="auto"/>
          <w:sz w:val="32"/>
          <w:szCs w:val="32"/>
        </w:rPr>
        <w:t>化行政主管部门或者其授权的单位给予警告，可以并处罚款；情节严重的，由城市人民政府城市绿化行政主管部门取消其设点申请批准文件，并可以提请工商行政管理部门吊销营业执照。</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第三十条　</w:t>
      </w:r>
      <w:r>
        <w:rPr>
          <w:rFonts w:ascii="Times New Roman" w:hAnsi="Times New Roman" w:eastAsia="仿宋_GB2312" w:cs="Times New Roman"/>
          <w:color w:val="auto"/>
          <w:sz w:val="32"/>
          <w:szCs w:val="32"/>
        </w:rPr>
        <w:t>对违反本条例的直接责任人员或者单位负责人，可以由其所在单位或者上级主管机关给予行政处分；构成犯罪的，依法追究刑事责任。</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第三十一条　</w:t>
      </w:r>
      <w:r>
        <w:rPr>
          <w:rFonts w:ascii="Times New Roman" w:hAnsi="Times New Roman" w:eastAsia="仿宋_GB2312" w:cs="Times New Roman"/>
          <w:color w:val="auto"/>
          <w:sz w:val="32"/>
          <w:szCs w:val="32"/>
        </w:rPr>
        <w:t>城市人民政府城市绿化行政主管部门和城市绿地管理单位的工作人员玩忽职守、滥用职权、徇私舞弊的，由其所在单位或者上级主管机关给予行政处分；构成犯罪的，依法追究刑事责任。</w:t>
      </w:r>
    </w:p>
    <w:p>
      <w:pPr>
        <w:pStyle w:val="11"/>
        <w:ind w:firstLine="640" w:firstLineChars="200"/>
        <w:rPr>
          <w:rFonts w:hint="eastAsia" w:ascii="仿宋_GB2312" w:hAnsi="仿宋_GB2312" w:eastAsia="仿宋_GB2312" w:cs="仿宋_GB2312"/>
          <w:color w:val="auto"/>
          <w:sz w:val="32"/>
          <w:szCs w:val="32"/>
        </w:rPr>
      </w:pPr>
      <w:r>
        <w:rPr>
          <w:rFonts w:hint="eastAsia" w:ascii="方正黑体_GBK" w:hAnsi="方正黑体_GBK" w:eastAsia="方正黑体_GBK" w:cs="方正黑体_GBK"/>
          <w:color w:val="auto"/>
          <w:sz w:val="32"/>
          <w:szCs w:val="32"/>
        </w:rPr>
        <w:t>第三十二条　</w:t>
      </w:r>
      <w:r>
        <w:rPr>
          <w:rFonts w:ascii="Times New Roman" w:hAnsi="Times New Roman" w:eastAsia="仿宋_GB2312" w:cs="Times New Roman"/>
          <w:color w:val="auto"/>
          <w:sz w:val="32"/>
          <w:szCs w:val="32"/>
        </w:rPr>
        <w:t>当事人</w:t>
      </w:r>
      <w:r>
        <w:rPr>
          <w:rFonts w:hint="eastAsia" w:ascii="仿宋_GB2312" w:hAnsi="仿宋_GB2312" w:eastAsia="仿宋_GB2312" w:cs="仿宋_GB2312"/>
          <w:color w:val="auto"/>
          <w:sz w:val="32"/>
          <w:szCs w:val="32"/>
        </w:rPr>
        <w:t>对行政处罚不服的，可以自接到处罚决定通知之日起15日内，向作出处罚决定机关的上一级机关申请复议；对复议决定不服的，可以自接到复议决定之日起15日内向人民法院起诉。当事人也可以直接向人民法院起诉。逾期不申请复议或者不向人民法院起诉又不履行处罚决定的，由作出处罚决定的机关申请人民法院强制执行。</w:t>
      </w:r>
    </w:p>
    <w:p>
      <w:pPr>
        <w:pStyle w:val="11"/>
        <w:ind w:firstLine="640" w:firstLineChars="200"/>
        <w:rPr>
          <w:rFonts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对治安管理处罚不服的，依照《中华人民共和国治安管理处</w:t>
      </w:r>
      <w:r>
        <w:rPr>
          <w:rFonts w:ascii="Times New Roman" w:hAnsi="Times New Roman" w:eastAsia="仿宋_GB2312" w:cs="Times New Roman"/>
          <w:color w:val="auto"/>
          <w:sz w:val="32"/>
          <w:szCs w:val="32"/>
        </w:rPr>
        <w:t>罚法》的规定执行。</w:t>
      </w:r>
    </w:p>
    <w:p>
      <w:pPr>
        <w:pStyle w:val="3"/>
        <w:bidi w:val="0"/>
        <w:rPr>
          <w:color w:val="auto"/>
          <w:szCs w:val="32"/>
        </w:rPr>
      </w:pPr>
      <w:r>
        <w:rPr>
          <w:color w:val="auto"/>
        </w:rPr>
        <w:t>第五章　附　　则</w:t>
      </w:r>
    </w:p>
    <w:p>
      <w:pPr>
        <w:pStyle w:val="11"/>
        <w:ind w:firstLine="640" w:firstLineChars="200"/>
        <w:rPr>
          <w:rFonts w:ascii="Times New Roman" w:hAnsi="Times New Roman" w:eastAsia="仿宋_GB2312" w:cs="Times New Roman"/>
          <w:color w:val="auto"/>
          <w:sz w:val="32"/>
          <w:szCs w:val="32"/>
        </w:rPr>
      </w:pPr>
      <w:r>
        <w:rPr>
          <w:rFonts w:hint="eastAsia" w:ascii="方正黑体_GBK" w:hAnsi="方正黑体_GBK" w:eastAsia="方正黑体_GBK" w:cs="方正黑体_GBK"/>
          <w:color w:val="auto"/>
          <w:sz w:val="32"/>
          <w:szCs w:val="32"/>
        </w:rPr>
        <w:t>第三十三条　</w:t>
      </w:r>
      <w:r>
        <w:rPr>
          <w:rFonts w:ascii="Times New Roman" w:hAnsi="Times New Roman" w:eastAsia="仿宋_GB2312" w:cs="Times New Roman"/>
          <w:color w:val="auto"/>
          <w:sz w:val="32"/>
          <w:szCs w:val="32"/>
        </w:rPr>
        <w:t>省、自治区、直辖市人民政府可以依照本条例制定实施办法。</w:t>
      </w:r>
    </w:p>
    <w:p>
      <w:pPr>
        <w:pStyle w:val="11"/>
        <w:ind w:firstLine="640" w:firstLineChars="200"/>
        <w:rPr>
          <w:rFonts w:hint="eastAsia" w:ascii="仿宋_GB2312" w:hAnsi="仿宋_GB2312" w:eastAsia="仿宋_GB2312" w:cs="仿宋_GB2312"/>
          <w:color w:val="auto"/>
          <w:sz w:val="32"/>
          <w:szCs w:val="32"/>
          <w:lang w:val="en-US" w:eastAsia="zh-CN"/>
        </w:rPr>
      </w:pPr>
      <w:r>
        <w:rPr>
          <w:rFonts w:hint="eastAsia" w:ascii="方正黑体_GBK" w:hAnsi="方正黑体_GBK" w:eastAsia="方正黑体_GBK" w:cs="方正黑体_GBK"/>
          <w:color w:val="auto"/>
          <w:sz w:val="32"/>
          <w:szCs w:val="32"/>
        </w:rPr>
        <w:t>第三十四条　</w:t>
      </w:r>
      <w:r>
        <w:rPr>
          <w:rFonts w:ascii="Times New Roman" w:hAnsi="Times New Roman" w:eastAsia="仿宋_GB2312" w:cs="Times New Roman"/>
          <w:color w:val="auto"/>
          <w:sz w:val="32"/>
          <w:szCs w:val="32"/>
        </w:rPr>
        <w:t>本</w:t>
      </w:r>
      <w:r>
        <w:rPr>
          <w:rFonts w:hint="eastAsia" w:ascii="仿宋_GB2312" w:hAnsi="仿宋_GB2312" w:eastAsia="仿宋_GB2312" w:cs="仿宋_GB2312"/>
          <w:color w:val="auto"/>
          <w:sz w:val="32"/>
          <w:szCs w:val="32"/>
        </w:rPr>
        <w:t>条例自1992年8月1日起施行。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B541A9"/>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80EFB"/>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2154AC"/>
    <w:rsid w:val="55B865F8"/>
    <w:rsid w:val="55C0390E"/>
    <w:rsid w:val="55D520AC"/>
    <w:rsid w:val="560523EE"/>
    <w:rsid w:val="566E5F27"/>
    <w:rsid w:val="566F7832"/>
    <w:rsid w:val="56E0027A"/>
    <w:rsid w:val="56E91124"/>
    <w:rsid w:val="575B478F"/>
    <w:rsid w:val="575D4E2E"/>
    <w:rsid w:val="577F6B33"/>
    <w:rsid w:val="58035B31"/>
    <w:rsid w:val="582D45D3"/>
    <w:rsid w:val="58F46356"/>
    <w:rsid w:val="58F6185E"/>
    <w:rsid w:val="591257DC"/>
    <w:rsid w:val="59C87720"/>
    <w:rsid w:val="5AB91E0A"/>
    <w:rsid w:val="5ACD03CB"/>
    <w:rsid w:val="5B353B99"/>
    <w:rsid w:val="5B6D42C1"/>
    <w:rsid w:val="5B903325"/>
    <w:rsid w:val="5BCD3584"/>
    <w:rsid w:val="5C223266"/>
    <w:rsid w:val="5CC75F8D"/>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3389</Words>
  <Characters>3404</Characters>
  <Lines>69</Lines>
  <Paragraphs>19</Paragraphs>
  <TotalTime>7</TotalTime>
  <ScaleCrop>false</ScaleCrop>
  <LinksUpToDate>false</LinksUpToDate>
  <CharactersWithSpaces>3450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2022-10-30T08:59:12Z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