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城市绿化条例</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(1992年5月20日国务院第104次常务会议通过　1992年6月22日中华人民共和国国务院令第100号发布　自1992年8月1日起施行</w:t>
      </w:r>
      <w:r>
        <w:rPr>
          <w:rFonts w:hint="eastAsia" w:ascii="楷体_GB2312" w:hAnsi="楷体_GB2312" w:eastAsia="楷体_GB2312" w:cs="楷体_GB2312"/>
          <w:b w:val="0"/>
          <w:bCs w:val="0"/>
          <w:spacing w:val="0"/>
          <w:sz w:val="32"/>
          <w:szCs w:val="32"/>
          <w:lang w:val="en-US" w:eastAsia="zh-CN"/>
        </w:rPr>
        <w:t>)</w:t>
      </w:r>
    </w:p>
    <w:p>
      <w:pPr>
        <w:pStyle w:val="3"/>
        <w:rPr>
          <w:sz w:val="32"/>
          <w:szCs w:val="32"/>
        </w:rPr>
      </w:pPr>
      <w:r>
        <w:rPr>
          <w:rFonts w:ascii="Times New Roman" w:hAnsi="Times New Roman" w:cs="Times New Roman"/>
          <w:sz w:val="32"/>
          <w:szCs w:val="32"/>
        </w:rPr>
        <w:t>第一章　总　　</w:t>
      </w:r>
      <w:bookmarkStart w:id="0" w:name="_GoBack"/>
      <w:bookmarkEnd w:id="0"/>
      <w:r>
        <w:rPr>
          <w:rFonts w:ascii="Times New Roman" w:hAnsi="Times New Roman" w:cs="Times New Roman"/>
          <w:sz w:val="32"/>
          <w:szCs w:val="32"/>
        </w:rPr>
        <w:t>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为了促进城市绿化事业的发展，改善生态环境，美化生活环境，增进人民身心健康，制定本条例。</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本条例适用于在城市规划区内种植和养护树木花草等城市绿化的规划、建设、保护和管理。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城市人民政府应当把城市绿化建设纳入国民经济和社会发展计划。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国家鼓励和加强城市绿化的科学研究，推广先进技术，提高城市绿化的科学技术和艺术水平。</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城市中的单位和有劳动能力的公民，应当依照国家有关规定履行植树或者其他绿化义务。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对在城市绿化工作中成绩显著的单位和个人，由人民政府给予表彰和奖励。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国务院设立全国绿化委员会，统一组织领导全国城乡绿化工作，其办公室设在国务院林业行政主管部门。</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国务院城市建设行政主管部门和国务院林业行政主管部门等，按照国务院规定的职权划分，负责全国城市绿化工作。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地方绿化管理体制，由省、自治区、直辖市人民政府根据本地实际情况规定。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城市人民政府城市绿化行政主管部门主管本行政区域内城市规划区的城市绿化工作。</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在城市规划区内，有关法律、法规规定由林业行政主管部门等管理的绿化工作，依照有关法律、法规执行。</w:t>
      </w:r>
    </w:p>
    <w:p>
      <w:pPr>
        <w:pStyle w:val="3"/>
        <w:bidi w:val="0"/>
        <w:rPr>
          <w:szCs w:val="32"/>
        </w:rPr>
      </w:pPr>
      <w:r>
        <w:t>第二章　规划和建设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城市人民政府应当组织城市规划行政主管部门和城市绿化行政主管部门等共同编制城市绿化规划，并纳入城市总体规划。</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城市绿化规划应当从实际出发，根据城市发展需要，合理安排同城市人口和城市面积相适应的城市绿化用地面积。</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城市人均公共绿地面积和绿化覆盖率等规划指标，由国务院城市建设行政主管部门根据不同城市的性质、规模和自然条件等实际情况规定。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城市绿化规划应当根据当地的特点，利用原有的地形、地貌、水体、植被和历史文化遗址等自然、人文条件，以方便群众为原则，合理设置公共绿地、居住区绿地、防护绿地、生产绿地和风景林地等。</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城市绿化工程的设计，应当委托持有相应资格证书的设计单位承担。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工程建设项目的附属绿化工程设计方案，按照基本建设程序审批时，必须有城市人民政府城市绿化行政主管部门参加审查。</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城市的公共绿地、居住区绿地、风景林地和干道绿化带等绿化工程的设计方案，必须按照规定报城市人民政府城市绿化行政主管部门或者其上级行政主管部门审批。</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建设单位必须按照批准的设计方案进行施工。设计方案确需改变时，须经原批准机关审批。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城市绿化工程的设计，应当借鉴国内外先进经验，体现民族风格和地方特色。城市公共绿地和居住区绿地的建设，应当以植物造景为主，选用适合当地自然条件的树木花草，并适当配置泉、石、雕塑等景物。</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城市绿化规划应当因地制宜地规划不同类型的防护绿地。各有关单位应当依照国家有关规定，负责本单位管界内防护绿地的绿化建设。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单位附属绿地的绿化规划和建设，由该单位自行负责，城市人民政府城市绿化行政主管部门应当监督检查，并给予技术指导。</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城市苗圃、草圃、花圃等生产绿地的建设，应当适应城市绿化建设的需要。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城市绿化</w:t>
      </w:r>
      <w:r>
        <w:rPr>
          <w:rFonts w:hint="eastAsia" w:ascii="仿宋_GB2312" w:hAnsi="仿宋_GB2312" w:eastAsia="仿宋_GB2312" w:cs="仿宋_GB2312"/>
          <w:sz w:val="32"/>
          <w:szCs w:val="32"/>
        </w:rPr>
        <w:t>工程的施工，应当委托持有相应资格证书的单位承担。绿化工程竣工后，应当经城市人民政府城市绿化行政</w:t>
      </w:r>
      <w:r>
        <w:rPr>
          <w:rFonts w:hint="eastAsia" w:ascii="仿宋_GB2312" w:hAnsi="仿宋_GB2312" w:eastAsia="仿宋_GB2312" w:cs="仿宋_GB2312"/>
          <w:spacing w:val="-6"/>
          <w:sz w:val="32"/>
          <w:szCs w:val="32"/>
        </w:rPr>
        <w:t>主管部门或者该工程的主管部门验收合格后，方可交付</w:t>
      </w:r>
      <w:r>
        <w:rPr>
          <w:rFonts w:hint="eastAsia" w:ascii="仿宋_GB2312" w:hAnsi="仿宋_GB2312" w:eastAsia="仿宋_GB2312" w:cs="仿宋_GB2312"/>
          <w:sz w:val="32"/>
          <w:szCs w:val="32"/>
        </w:rPr>
        <w:t>使用。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城市新建、扩建、改建工程项目和开发住宅区项目，需要绿化的，其基本建设投资中应当包括配套的绿化建设投资，并统一安排绿化工程施工，在规定的期限内完成绿化任务。</w:t>
      </w:r>
    </w:p>
    <w:p>
      <w:pPr>
        <w:pStyle w:val="3"/>
        <w:bidi w:val="0"/>
        <w:rPr>
          <w:szCs w:val="32"/>
        </w:rPr>
      </w:pPr>
      <w:r>
        <w:t>第三章　保护和管理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城市的公共绿地、</w:t>
      </w:r>
      <w:r>
        <w:rPr>
          <w:rFonts w:hint="eastAsia" w:ascii="仿宋_GB2312" w:hAnsi="仿宋_GB2312" w:eastAsia="仿宋_GB2312" w:cs="仿宋_GB2312"/>
          <w:sz w:val="32"/>
          <w:szCs w:val="32"/>
        </w:rPr>
        <w:t>风景林地、防护绿地、行道树及干道绿化带的绿化，由城市人民政府城市绿化行政主管部门管理；各单位管界内的防护绿地的绿化，由该单位按照国家有关规定管理；单位自建的公园和单位附属绿地的绿化，由该单位管</w:t>
      </w:r>
      <w:r>
        <w:rPr>
          <w:rFonts w:ascii="Times New Roman" w:hAnsi="Times New Roman" w:eastAsia="仿宋_GB2312" w:cs="Times New Roman"/>
          <w:sz w:val="32"/>
          <w:szCs w:val="32"/>
        </w:rPr>
        <w:t>理；居住区绿地的绿化，由城市人民政府城市绿化行政主管部门根据实际情况确定的单位管理；城市苗圃、草圃和花圃等，由其经营单位管理。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任何单位和个人都不得擅自改变城市绿化规划用地性质或者破坏绿化规划用地的地形、地貌、水体和植被。</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任何单位和个人都不得擅自占用城市绿化用地；占用的城市绿化用地，应当限期归还。</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因建设或者其他特殊需要临时占用城市绿化用地，须经城市人民政府城市绿化行政主管部门同意，并按照有关规定办理临时用地手续。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任何单位和个人都不得损坏城市树木花草和绿化设施。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砍伐城市树木，必须经城市人民政府城市绿化行政主管部门批准，并按照国家有关规定补植树木或者采取其他补救措施。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在城市的公共绿地内开设商业、服务摊点的，必须向公共绿地管理单位提出申请，经城市人民政府城市绿化行政主管部门或者其授权的单位同意后，持工商行政管理部门批准的营业执照，在公共绿地管理单位指定的地点从事经营活动，并遵守公共绿地和工商行政管理的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城市的绿地管理单位，应当建立、健全管理制度，保持树木花草繁茂及绿化设施完好。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为保证管线的安全使用需要修剪树木时，必须经城市人民政府城市绿化行政主管部门批准，按照兼顾管线安全使用和树木正常生长的原则进行修剪。承担修剪费用的办法，由城市人民政府规定。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因不可抗力致使树木倾斜危及管线安全时，管线管理单位可以先行修剪、扶正或者砍伐树木，但是，应当及时报告城市人民政府城市绿化行政主管部门和绿地管理单位。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百年以上树龄的树木，稀有、珍贵树木，具有历史价值或者重要纪念意</w:t>
      </w:r>
      <w:r>
        <w:rPr>
          <w:rFonts w:hint="eastAsia" w:ascii="仿宋_GB2312" w:hAnsi="仿宋_GB2312" w:eastAsia="仿宋_GB2312" w:cs="仿宋_GB2312"/>
          <w:sz w:val="32"/>
          <w:szCs w:val="32"/>
        </w:rPr>
        <w:t>义的树木，均属古树名木。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严禁砍伐或者迁移古树名木。因特殊需要迁移古树名木，必须经城市人民政府城市绿化行政主管部门审查同意，并报同级或者上级人民政府批准。</w:t>
      </w:r>
    </w:p>
    <w:p>
      <w:pPr>
        <w:pStyle w:val="3"/>
        <w:bidi w:val="0"/>
        <w:rPr>
          <w:szCs w:val="32"/>
        </w:rPr>
      </w:pPr>
      <w:r>
        <w:t>第四章　罚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工程建设项目的附属绿化工程设计方案或者城市的公共绿地、居住区绿地、风景林地和干道绿化带等绿化工程的设计方案，未经批准或者未按照批准的设计方案施工的，由城市人民政府城市绿化行政主管部门责令停止施工、限期改正或者采取其他补救措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违反本条例规定，有下列行为之一的，由城市人民政府城市绿</w:t>
      </w:r>
      <w:r>
        <w:rPr>
          <w:rFonts w:hint="eastAsia" w:ascii="仿宋_GB2312" w:hAnsi="仿宋_GB2312" w:eastAsia="仿宋_GB2312" w:cs="仿宋_GB2312"/>
          <w:sz w:val="32"/>
          <w:szCs w:val="32"/>
        </w:rPr>
        <w:t>化行政主管部门或者其授权的单位责令停止侵害，可以并处罚款；造成损失的，应当负赔偿责任；应当给予治安管理处罚的，依照《中华人民共和国治安管理处罚条例》的有关规定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(一)损坏城市树木花草的；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(二)擅自修剪或者砍伐城市树木的；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(三)砍伐、擅自迁移古树名木或者因养护不善致使古树名木受到损伤或者死亡的；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(四)损坏城市绿化设施的。</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未经同意擅自占用城市绿化用地的，由城市人民政府城市绿化行政主管部门责令限期退还、恢复原状，可以并处罚款；造成损失的，应当负赔偿责任。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未经同意擅自在城市公共绿地内开设商业、服务摊点的，由城市人民政府城市绿化行政主管部门或者其授权的单位责令限期迁出或者拆除，可以并处罚款；造成损失的，应当负赔偿责任。</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不服从公共绿地管理单位管理的商业、服务摊点，由城市人民政府城市绿化行政主管部门或者其授权的单位给予警告，可以并处罚款；情节严重的，由城市人民政府城市绿化行政主管部门取消其设点申请批准文件，并可以提请工商行政管理部门吊销营业执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对违反本条例的直接责任人员或者单位负责人，可以由其所在单位或者上级主管机关给予行政处分；构成犯罪的，依法追究刑事责任。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城市人民政府城市绿化行政主管部门和城市绿地管理单位的工作人员玩忽职守、滥用职权、徇私舞弊的，由其所在单位或者上级主管机关给予行政处分；构成犯罪的，依法追究刑事责任。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当事人对行政处罚不服的，可以自接到处罚决定通知之日起十五日内</w:t>
      </w:r>
      <w:r>
        <w:rPr>
          <w:rFonts w:hint="eastAsia" w:ascii="仿宋_GB2312" w:hAnsi="仿宋_GB2312" w:eastAsia="仿宋_GB2312" w:cs="仿宋_GB2312"/>
          <w:sz w:val="32"/>
          <w:szCs w:val="32"/>
        </w:rPr>
        <w:t>，向作出处罚决定机关的上一级机关申请复议；对复议决定不服的，可以自接到复议决定之日起十五日内向人民法院起诉。当事人也可以直接向人民法院起诉。逾期不申请复议或者不向人民法院起诉又不履行处罚决定的，由作出处罚决定的机关申请人民法院强制执行。</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对治安管理处罚不服的，依照《中华人民共和国治安管理处</w:t>
      </w:r>
      <w:r>
        <w:rPr>
          <w:rFonts w:ascii="Times New Roman" w:hAnsi="Times New Roman" w:eastAsia="仿宋_GB2312" w:cs="Times New Roman"/>
          <w:sz w:val="32"/>
          <w:szCs w:val="32"/>
        </w:rPr>
        <w:t>罚条例》的规定执行。</w:t>
      </w:r>
    </w:p>
    <w:p>
      <w:pPr>
        <w:pStyle w:val="3"/>
        <w:bidi w:val="0"/>
        <w:rPr>
          <w:szCs w:val="32"/>
        </w:rPr>
      </w:pPr>
      <w:r>
        <w:t>第五章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省、自治区、直辖市人民政府可以依照本条例制定实施办法。</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本条例自一九九二年八月一日起施行。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k4NjQwOWM3YmY2MTA2NDdkYjQ4YWY2Njc4NjdhNTE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5DE7F94"/>
    <w:rsid w:val="06083039"/>
    <w:rsid w:val="06A0228E"/>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98A0A54"/>
    <w:rsid w:val="19DB6C33"/>
    <w:rsid w:val="1A3209E2"/>
    <w:rsid w:val="1A8E3AF5"/>
    <w:rsid w:val="1ABC528A"/>
    <w:rsid w:val="1AC13CB4"/>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D04ED0"/>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74457C8"/>
    <w:rsid w:val="37BE1588"/>
    <w:rsid w:val="37D83957"/>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8D54AF3"/>
    <w:rsid w:val="494B3B16"/>
    <w:rsid w:val="495D768C"/>
    <w:rsid w:val="499D1725"/>
    <w:rsid w:val="49C224BB"/>
    <w:rsid w:val="4A4F5FBC"/>
    <w:rsid w:val="4A732A37"/>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E5F27"/>
    <w:rsid w:val="566F7832"/>
    <w:rsid w:val="56E0027A"/>
    <w:rsid w:val="56E91124"/>
    <w:rsid w:val="575D4E2E"/>
    <w:rsid w:val="577F6B33"/>
    <w:rsid w:val="58035B31"/>
    <w:rsid w:val="582D45D3"/>
    <w:rsid w:val="58F46356"/>
    <w:rsid w:val="58F6185E"/>
    <w:rsid w:val="591257DC"/>
    <w:rsid w:val="59C87720"/>
    <w:rsid w:val="5AB91E0A"/>
    <w:rsid w:val="5ACD03CB"/>
    <w:rsid w:val="5B353B99"/>
    <w:rsid w:val="5B6D42C1"/>
    <w:rsid w:val="5B903325"/>
    <w:rsid w:val="5BCD3584"/>
    <w:rsid w:val="5C223266"/>
    <w:rsid w:val="5D0B40ED"/>
    <w:rsid w:val="5D101449"/>
    <w:rsid w:val="5D5B758E"/>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697C85"/>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4616D2"/>
    <w:rsid w:val="65532802"/>
    <w:rsid w:val="65BF6566"/>
    <w:rsid w:val="661A0218"/>
    <w:rsid w:val="66371AC6"/>
    <w:rsid w:val="665D25F4"/>
    <w:rsid w:val="66E50FB1"/>
    <w:rsid w:val="672D3272"/>
    <w:rsid w:val="674048E2"/>
    <w:rsid w:val="6754452F"/>
    <w:rsid w:val="67B16815"/>
    <w:rsid w:val="67D71794"/>
    <w:rsid w:val="67DE6474"/>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70796813"/>
    <w:rsid w:val="70817970"/>
    <w:rsid w:val="709949F1"/>
    <w:rsid w:val="712B5699"/>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AD03FC"/>
    <w:rsid w:val="77D8678E"/>
    <w:rsid w:val="77D9199A"/>
    <w:rsid w:val="77FF68F3"/>
    <w:rsid w:val="78061DFD"/>
    <w:rsid w:val="7814798C"/>
    <w:rsid w:val="7819740D"/>
    <w:rsid w:val="781E454A"/>
    <w:rsid w:val="789F59B2"/>
    <w:rsid w:val="78DE7FEC"/>
    <w:rsid w:val="78E10B53"/>
    <w:rsid w:val="78ED2B64"/>
    <w:rsid w:val="796E7B9B"/>
    <w:rsid w:val="79A7191C"/>
    <w:rsid w:val="7A224A32"/>
    <w:rsid w:val="7A4B0114"/>
    <w:rsid w:val="7A6D55E9"/>
    <w:rsid w:val="7ABD49CD"/>
    <w:rsid w:val="7ADE2DE7"/>
    <w:rsid w:val="7BA85469"/>
    <w:rsid w:val="7BAB0BDF"/>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9</Pages>
  <Words>3401</Words>
  <Characters>3417</Characters>
  <Lines>69</Lines>
  <Paragraphs>19</Paragraphs>
  <TotalTime>2</TotalTime>
  <ScaleCrop>false</ScaleCrop>
  <LinksUpToDate>false</LinksUpToDate>
  <CharactersWithSpaces>3464</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2022-10-30T04:46:17Z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AAC7F7B6F5494A41BADB80700CA67999</vt:lpwstr>
  </property>
</Properties>
</file>