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农业转基因生物安全管理条例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2001年5月9日国务院第38次常务会议通过　2001年5月23日中华人民共和国国务院令第304号公布　自公布之日起施行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为了加强农业转基因生物安全管理，保障人体健康和动植物、微生物安全，保护生态环境，促进农业转基因生物技术研究，制定本条例。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在中华人民共和国境内从事农业转基因生物的研究、试验、生产、加工、经营和进口、出口活动，必须遵守本条例。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本条例所称农业转基因生物，是指利用基因工程技术改变基因组构成，用于农业生产或者农产品加工的动植物、微生物及其产品，主要包括：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(一)转基因动植物(含种子、种畜禽、水产苗种)和微生物；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(二)转基因动植物、微生物产品；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(三)转基因农产品的直接加工品；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(四)含有转基因动植物、微生物或者其产品成份的种子、种畜禽、水产苗种、农药、兽药、肥料和添加剂等产品。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本条例所称农业转基因生物安全，是指防范农业转基因生物对人类、动植物、微生物和生态环境构成的危险或者潜在风险。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国务院农业行政主管部门负责全国农业转基因生物安全的监督管理工作。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县级以上地方各级人民政府农业行政主管部门负责本行政区域内的农业转基因生物安全的监督管理工作。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县级以上各级人民政府卫生行政主管部门依照《中华人民共和国食品卫生法》的有关规定，负责转基因食品卫生安全的监督管理工作。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国务院建立农业转基因生物安全管理部际联席会议制度。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农业转基因生物安全管理部际联席会议由农业、科技、环境保护、卫生、外经贸、检验检疫等有关部门的负责人组成，负责研究、协调农业转基因生物安全管理工作中的重大问题。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国家对农业转基因生物安全实行分级管理评价制度。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农业转基因生物按照其对人类、动植物、微生物和生态环境的危险程度，分为Ⅰ、Ⅱ、Ⅲ、Ⅳ四个等级。具体划分标准由国务院农业行政主管部门制定。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国家建立农业转基因生物安全评价制度。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农业转基因生物安全评价的标准和技术规范，由国务院农业行政主管部门制定。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国家对农业转基因生物实行标识制度。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实施标识管理的农业转基因生物目录，由国务院农业行政主管部门商国务院有关部门制定、调整并公布。</w:t>
      </w:r>
    </w:p>
    <w:p>
      <w:pPr>
        <w:pStyle w:val="3"/>
        <w:bidi w:val="0"/>
        <w:rPr>
          <w:szCs w:val="32"/>
        </w:rPr>
      </w:pPr>
      <w:r>
        <w:t>第二章　研究与试验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国务院农业行政主管部门应当加强农业转基因生物研究与试验的安全评价管理工作，并设立农业转基因生物安全委员会，负责农业转基因生物的安全评价工作。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农业转基因生物安全委员会由从事农业转基因生物研究、生产、加工、检验检疫以及卫生、环境保护等方面的专家组成。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国务院农业行政主管部门根据农业转基因生物安全评价工作的需要，可以委托具备检测条件和能力的技术检测机构对农业转基因生物进行检测。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从事农业转基因生物研究与试验的单位，应当具备与安全等级相适应的安全设施和措施，确保农业转基因生物研究与试验的安全，并成立农业转基因生物安全小组，负责本单位农业转基因生物研究与试验的安全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从事Ⅲ、Ⅳ级农业转基因生物研究的，应当在研究开始前向国务院农业行政主管部门报告。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农业转基因生物试验，一般应当经过中间试验、环境释放和生产性试验三个阶段。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中间试验，是指在控制系统内或者控制条件下进行的小规模试验。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环境释放，是指在自然条件下采取相应安全措施所进行的中规模的试验。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生产性试验，是指在生产和应用前进行的较大规模的试验。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农业转基因生物在实验室研究结束后，需要转入中间试验的，试验单位应当向国务院农业行政主管部门报告。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业转基因生物试验需要从上一试验阶段转入下一试验阶段的，试验单位应当向国务院农业行政主管部门提出申请；经农业转基因生物安全委员会进行安全评价合格的，由国务院农业行政主管部门批准转入下一试验阶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试验单位提出前款申请，应当提供下列材料：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(一)农业转基因生物的安全等级和确定安全等级的依据；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(二)农业转基因生物技术检测机构出具的检测报告；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(四)上一试验阶段的试验报告。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从事农业转基因生物试验的单位在生产性试验结束后，可以向国务院农业行政主管部门申请领取农业转基因生物安全证书。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试验单位提出前款申请，应当提供下列材料：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(一)农业转基因生物的安全等级和确定安全等级的依据；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(二)农业转基因生物技术检测机构出具的检测报告；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(三)生产性试验的总结报告；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(四)国务院农业行政主管部门规定的其他材料。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国务院农业行政主管部门收到申请后，应当组织农业转基因生物安全委员会进行安全评价；安全评价合格的，方可颁发农业转基因生物安全证书。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转基因植物种子、种畜禽、水产苗种，利用农业转基因生物生产的或者含有农业转基因生物成份的种子、种畜禽、水产苗种、农药、兽药、肥料和添加剂等，在依照有关法律、行政法规的规定进行审定、登记或者评价、审批前，应当依照本条例第十六条的规定取得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中外合作、合资或者外方独资在中华人民共和国境内从事农业转基因生物研究与试验的，应当经国务院农业行政主管部门批准。</w:t>
      </w:r>
    </w:p>
    <w:p>
      <w:pPr>
        <w:pStyle w:val="3"/>
        <w:bidi w:val="0"/>
        <w:rPr>
          <w:szCs w:val="32"/>
        </w:rPr>
      </w:pPr>
      <w:r>
        <w:t>第三章　生产与加工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生产转基因植物种子、种畜禽、水产苗种，应当取得国务院农业行政主管部门颁发的种子、种畜禽、水产苗种生产许可证。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生产单位和个人申请转基因植物种子、种畜禽、水产苗种生产许可证，除应当符合有关法律、行政法规规定的条件外，还应当符合下列条件：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(一)取得农业转基因生物安全证书并通过品种审定；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(二)在指定的区域种植或者养殖；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生产转基因植物种子、种畜禽、水产苗种的单位和个人，应当建立生产档案，载明生产地点、基因及其来源、转基因的方法以及种子、种畜禽、水产苗种流向等内容。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单位和个人从事农业转基因生物生产、加工的，应当由国务院农业行政主管部门或者省、自治区、直辖市人民政府农业行政主管部门批准。具体办法由国务院农业行政主管部门制定。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农民养殖、种植转基因动植物的，由种子、种畜禽、水产苗种销售单位依照本条例第二十一条的规定代办审批手续。审批部门和代办单位不得向农民收取审批、代办费用。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农业转基因生物生产、加工的单位和个人，应当按照批准的品种、范围、安全管理要求和相应的技术标准组织生产、加工，并定期向所在地县级人民政府农业行政主管部门提供生产、加工、安全管理情况和产品流向的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农业转基因生物在生产、加工过程中发生基因安全事故时，生产、加工单位和个人应当立即采取安全补救措施，并向所在地县级人民政府农业行政主管部门报告。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从事农业转基因生物运输、贮存的单位和个人，应当采取与农业转基因生物安全等级相适应的安全控制措施，确保农业转基因生物运输、贮存的安全。</w:t>
      </w:r>
    </w:p>
    <w:p>
      <w:pPr>
        <w:pStyle w:val="3"/>
        <w:bidi w:val="0"/>
        <w:rPr>
          <w:szCs w:val="32"/>
        </w:rPr>
      </w:pPr>
      <w:r>
        <w:t>第四章　经　　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经营转基因植物种子、种畜禽、水产苗种的单位和个人，应当取得国务院农业行政主管部门颁发的种子、种畜禽、水产苗种经营许可证。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经营单位和个人申请转基因植物种子、种畜禽、水产苗种经营许可证，除应当符合有关法律、行政法规规定的条件外，还应当符合下列条件：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(一)有专门的管理人员和经营档案；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(三)国务院农业行政主管部门规定的其他条件。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经营转基因植物种子、种畜禽、水产苗种的单位和个人，应当建立经营档案，载明种子、种畜禽、水产苗种的来源、贮存、运输和销售去向等内容。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在中华人民共和国境内销售列入农业转基因生物目录的农业转基因生物，应当有明显的标识。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农业转基因生物目录的农业转基因生物，由生产、分装单位和个人负责标识；未标识的，不得销售。经营单位和个人在进货时，应当对货物和标识进行核对。经营单位和个人拆开原包装进行销售的，应当重新标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农业转基因生物标识应当载明产品中含有转基因成份的主要原料名称；有特殊销售范围要求的，还应当载明销售范围，并在指定范围内销售。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农业转基因生物的广告，应当经国务院农业行政主管部门审查批准后，方可刊登、播放、设置和张贴。</w:t>
      </w:r>
    </w:p>
    <w:p>
      <w:pPr>
        <w:pStyle w:val="3"/>
        <w:bidi w:val="0"/>
        <w:rPr>
          <w:szCs w:val="32"/>
        </w:rPr>
      </w:pPr>
      <w:r>
        <w:t>第五章　进口与出口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从中华人民共和国境外引进农业转基因生物用于研究、试验的，引进单位应当向国务院农业行政主管部门提出申请；符合下列条件的，国务院农业行政主管部门方可批准：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(一)具有国务院农业行政主管部门规定的申请资格；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(二)引进的农业转基因生物在国(境)外已经进行了相应的研究、试验；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境外公司向中华人民共和国出口转基因植物种子、种畜禽、水产苗种和利用农业转基因生物生产的或者含有农业转基因生物成份的植物种子、种畜禽、水产苗种、农药、兽药、肥料和添加剂的，应当向国务院农业行政主管部门提出申请；符合下列条件的，国务院农业行政主管部门方可批准试验材料入境并依照本条例的规定进行中间试验、环境释放和生产性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(一)输出国家或者地区已经允许作为相应用途并投放市场；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(二)输出国家或者地区经过科学试验证明对人类、动植物、微生物和生态环境无害；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生产性试验结束后，经安全评价合格，并取得农业转基因生物安全证书后，方可依照有关法律、行政法规的规定办理审定、登记或者评价、审批手续。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境外公司向中华人民共和国出口农业转基因生物用作加工原料的，应当向国务院农业行政主管部门提出申请；符合下列条件，并经安全评价合格的，由国务院农业行政主管部门颁发农业转基因生物安全证书：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(一)输出国家或者地区已经允许作为相应用途并投放市场；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(二)输出国家或者地区经过科学试验证明对人类、动植物、微生物和生态环境无害；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(三)经农业转基因生物技术检测机构检测，确认对人类、动植物、微生物和生态环境不存在危险；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(四)有相应的安全管理、防范措施。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中华人民共和国境外引进农业转基因生物的，或者向中华人民共和国出口农业转基因生物的，引进单位或者境外公司应当凭国务院农业行政主管部门颁发的农业转基因生物安全证书和相关批准文件，向口岸出入境检验检疫机构报检；经检疫合格后，方可向海关申请办理有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农业转基因生物在中华人民共和国过境转移的，货主应当事先向国家出入境检验检疫部门提出申请；经批准方可过境转移，并遵守中华人民共和国有关法律、行政法规的规定。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国务院农业行政主管部门、国家出入境检验检疫部门应当自收到申请人申请之日起270日内作出批准或者不批准的决定，并通知申请人。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向中华人民共和国境外出口农产品，外方要求提供非转基因农产品证明的，由口岸出入境检验检疫机构根据国务院农业行政主管部门发布的转基因农产品信息，进行检测并出具非转基因农产品证明。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进口农业转基因生物，没有国务院农业行政主管部门颁发的农业转基因生物安全证书和相关批准文件的，或者与证书、批准文件不符的，作退货或者销毁处理。进口农业转基因生物不按照规定标识的，重新标识后方可入境。</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农业行政主管部门履行监督检查职责时，有权采取下列措施：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(一)询问被检查的研究、试验、生产、加工、经营或者进口、出口的单位和个人、利害关系人、证明人，并要求其提供与农业转基因生物安全有关的证明材料或者其他资料；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(二)查阅或者复制农业转基因生物研究、试验、生产、加工、经营或者进口、出口的有关档案、账册和资料等；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(三)要求有关单位和个人就有关农业转基因生物安全的问题作出说明；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(四)责令违反农业转基因生物安全管理的单位和个人停止违法行为；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(五)在紧急情况下，对非法研究、试验、生产、加工、经营或者进口、出口的农业转基因生物实施封存或者扣押。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农业行政主管部门工作人员在监督检查时，应当出示执法证件。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有关单位和个人对农业行政主管部门的监督检查，应当予以支持、配合，不得拒绝、阻碍监督检查人员依法执行职务。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发现农业转基因生物对人类、动植物和生态环境存在危险时，国务院农业行政主管部门有权宣布禁止生产、加工、经营和进口，收回农业转基因生物安全证书，销毁有关存在危险的农业转基因生物。</w:t>
      </w:r>
    </w:p>
    <w:p>
      <w:pPr>
        <w:pStyle w:val="3"/>
        <w:bidi w:val="0"/>
        <w:rPr>
          <w:szCs w:val="32"/>
        </w:rPr>
      </w:pPr>
      <w:r>
        <w:t>第七章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违反本条例规定，从事Ⅲ、Ⅳ级农业转基因生物研究或者进行中间试验，未向国务院农业行政主管部门报告的，由国务院农业行政主管部门责令暂停研究或者中间试验，限期改正。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违反本条例规定，在生产性试验结束后，未取得农业转基因生物安全证书，擅自将农业转基因生物投入生产和应用的，由国务院农业行政主管部门责令停止生产和应用，并处2万元以上10万元以下的罚款。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违反本条例第十八条规定，未经国务院农业行政主管部门批准，从事农业转基因生物研究与试验的，由国务院农业行政主管部门责令立即停止研究与试验，限期补办审批手续。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者违法所得不足10万元的，并处10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转基因植物种子、种畜禽、水产苗种的生产、经营单位和个人，未按照规定制作、保存生产、经营档案的，由县级以上人民政府农业行政主管部门依据职权，责令改正，处1000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违反本条例规定，转基因植物种子、种畜禽、水产苗种的销售单位，不履行审批手续代办义务或者在代办过程中收取代办费用的，由国务院农业行政主管部门责令改正，处2万元以下的罚款。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未经国务院农业行政主管部门批准，擅自进口农业转基因生物的，由国务院农业行政主管部门责令停止进口，没收已进口的产品和违法所得；违法所得10万元以上的，并处违法所得1倍以上5倍以下的罚款；没有违法所得或者违法所得不足10万元的，并处10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进口、携带、邮寄农业转基因生物未向口岸出入境检验检疫机构报检的，或者未经国家出入境检验检疫部门批准过境转移农业转基因生物的，由口岸出入境检验检疫机构或者国家出入境检验检疫部门比照进出境动植物检疫法的有关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违反本条例关于农业转基因生物标识管理规定的，由县级以上人民政府农业行政主管部门依据职权，责令限期改正，可以没收非法销售的产品和违法所得，并可以处1万元以上5万元以下的罚款。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假冒、伪造、转让或者买卖农业转基因生物有关证明文书的，由县级以上人民政府农业行政主管部门依据职权，收缴相应的证明文书，并处2万元以上10万元以下的罚款；构成犯罪的，依法追究刑事责任。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违反本条例规定，在研究、试验、生产、加工、贮存、运输、销售或者进口、出口农业转基因生物过程中发生基因安全事故，造成损害的，依法承担赔偿责任。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农业行政主管部门或者省、自治区、直辖市人民政府农业行政主管部门违反本条例规定核发许可证、农业转基因生物安全证书以及其他批准文件的，或者核发许可证、农业转基因生物安全证书以及其他批准文件后不履行监督管理职责的，对直接负责的主管人员和其他直接责任人员依法给予行政处分；构成犯罪的，依法追究刑事责任。</w:t>
      </w:r>
    </w:p>
    <w:p>
      <w:pPr>
        <w:pStyle w:val="3"/>
        <w:bidi w:val="0"/>
        <w:rPr>
          <w:szCs w:val="32"/>
        </w:rPr>
      </w:pPr>
      <w:r>
        <w:t>第八章　附　　则</w:t>
      </w:r>
    </w:p>
    <w:p>
      <w:pPr>
        <w:pStyle w:val="11"/>
        <w:ind w:firstLine="640" w:firstLineChars="20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本条</w:t>
      </w:r>
      <w:bookmarkStart w:id="0" w:name="_GoBack"/>
      <w:bookmarkEnd w:id="0"/>
      <w:r>
        <w:rPr>
          <w:rFonts w:hint="eastAsia" w:ascii="仿宋_GB2312" w:hAnsi="仿宋_GB2312" w:eastAsia="仿宋_GB2312" w:cs="仿宋_GB2312"/>
          <w:sz w:val="32"/>
          <w:szCs w:val="32"/>
        </w:rPr>
        <w:t>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3880</Words>
  <Characters>3890</Characters>
  <Lines>69</Lines>
  <Paragraphs>19</Paragraphs>
  <TotalTime>2</TotalTime>
  <ScaleCrop>false</ScaleCrop>
  <LinksUpToDate>false</LinksUpToDate>
  <CharactersWithSpaces>3919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2022-05-29T02:17:40Z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