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8D1" w:rsidRDefault="0034238D">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长江三峡工程建设移民条例</w:t>
      </w:r>
    </w:p>
    <w:p w:rsidR="003968D1" w:rsidRDefault="003968D1">
      <w:pPr>
        <w:pStyle w:val="a5"/>
        <w:ind w:firstLineChars="200" w:firstLine="616"/>
        <w:rPr>
          <w:rFonts w:ascii="楷体_GB2312" w:eastAsia="楷体_GB2312" w:hAnsi="楷体_GB2312" w:cs="楷体_GB2312"/>
          <w:spacing w:val="-6"/>
          <w:sz w:val="32"/>
          <w:szCs w:val="32"/>
        </w:rPr>
      </w:pPr>
    </w:p>
    <w:p w:rsidR="003968D1" w:rsidRDefault="0034238D">
      <w:pPr>
        <w:pStyle w:val="a5"/>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2001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35</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2001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21</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299</w:t>
      </w:r>
      <w:r>
        <w:rPr>
          <w:rFonts w:ascii="楷体_GB2312" w:eastAsia="楷体_GB2312" w:hAnsi="楷体_GB2312" w:cs="楷体_GB2312" w:hint="eastAsia"/>
          <w:sz w:val="32"/>
          <w:szCs w:val="32"/>
        </w:rPr>
        <w:t>号公布　自</w:t>
      </w:r>
      <w:r>
        <w:rPr>
          <w:rFonts w:ascii="楷体_GB2312" w:eastAsia="楷体_GB2312" w:hAnsi="楷体_GB2312" w:cs="楷体_GB2312" w:hint="eastAsia"/>
          <w:sz w:val="32"/>
          <w:szCs w:val="32"/>
        </w:rPr>
        <w:t>2001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rsidR="003968D1" w:rsidRDefault="0034238D">
      <w:pPr>
        <w:pStyle w:val="2"/>
      </w:pPr>
      <w:r>
        <w:rPr>
          <w:rFonts w:hAnsi="宋体" w:cs="宋体"/>
        </w:rPr>
        <w:t>第一章　总　　则</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为了做好三峡工程建设移民工作，维护移民合法权益，保障三峡工程建设，促进三峡库区经济和社会发展，制定本条例。</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三峡工程建设移民，适用本条例。</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三峡工程建设，实行开发性移民方针，统筹使用移民资金，合理开发资源，保护生态环境，妥善安置移民，使移民的生产、生活达到或者超过原有水平，为三峡库区经济和社会发展创造条件。</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三峡工程建设移民工作应当与三峡库区建设、沿江地区对外开放、水土保持和环境保护相结合。</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hAnsi="宋体" w:cs="宋体"/>
          <w:sz w:val="32"/>
          <w:szCs w:val="32"/>
        </w:rPr>
        <w:t xml:space="preserve">　</w:t>
      </w:r>
      <w:r>
        <w:rPr>
          <w:rFonts w:ascii="仿宋_GB2312" w:eastAsia="仿宋_GB2312" w:hAnsi="仿宋_GB2312" w:cs="仿宋_GB2312" w:hint="eastAsia"/>
          <w:sz w:val="32"/>
          <w:szCs w:val="32"/>
        </w:rPr>
        <w:t>三峡工程建设移民，实行国家扶持、各方支援与自力更生相结合的原则，采取前期补偿、补助与后期生产扶持相结合的方针，兼顾国家、集体和个人的利益。</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三峡工程淹没区、移民安置区所在地的人民政府和群众应当顾全大局，服从国家统筹安排，正确处理移民搬迁和经</w:t>
      </w:r>
      <w:r>
        <w:rPr>
          <w:rFonts w:ascii="仿宋_GB2312" w:eastAsia="仿宋_GB2312" w:hAnsi="仿宋_GB2312" w:cs="仿宋_GB2312" w:hint="eastAsia"/>
          <w:sz w:val="32"/>
          <w:szCs w:val="32"/>
        </w:rPr>
        <w:t>济发展的关系。</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三峡工程建设移民，实行移民任务和移民资金包干的原则。</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国家对三峡工程建设移民依法给予补偿。具体补偿标准由国务院三峡工程建设委员会移民管理机构会同国务院有关部门组织测算、拟订，报国务院批准后执行。</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三峡工程建设移民工作实行统一领导、分省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直辖市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负责、以县为基础的管理体制。</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国务院三峡工程建设委员会是三峡工程建设移民工作的领导决策机构。</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国务院三峡工程建设委员会移民管理机构负责三峡工程建设移民工作。</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湖北省、重庆市人民政府负责本行政区域内三峡工程建设移民工作，并设立三峡工程建设移民管理机构。</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三峡工程淹没区和移民安置区所在地的市、县、区人民政府负责本行政区域内三峡工程建设移民工作，并可以根据需要设立三峡工程建设移民管理机构。</w:t>
      </w:r>
    </w:p>
    <w:p w:rsidR="003968D1" w:rsidRDefault="0034238D">
      <w:pPr>
        <w:pStyle w:val="2"/>
      </w:pPr>
      <w:r>
        <w:lastRenderedPageBreak/>
        <w:t>第二章　移民安置</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三峡工程建设移民安置，应当编制移民安置规划。移民安置规划应当与土地利用总体规划相衔接。</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水利部长江水利委员会会同湖北省、重庆市人民政府，负责编制《长江三峡工程水库淹没处理及移民安置规划大纲》</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以下简称《规划大纲》</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，报国务院三峡工程建设委员会审批。</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湖北省</w:t>
      </w:r>
      <w:r>
        <w:rPr>
          <w:rFonts w:ascii="仿宋_GB2312" w:eastAsia="仿宋_GB2312" w:hAnsi="仿宋_GB2312" w:cs="仿宋_GB2312" w:hint="eastAsia"/>
          <w:sz w:val="32"/>
          <w:szCs w:val="32"/>
        </w:rPr>
        <w:t>、重庆市人民政府应当按照《规划大纲》，负责组织本行政区域内有关市、县、区人民政府编制并批准有关市、县、区的移民安置规划，并分别汇总编制本省、直辖市的移民安置规划，报国务院三峡工程建设委员会备案。</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国务院三峡工程建设委员会移民管理机构应当加强对移民安置规划实施情况的监督。</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经批准的移民安置规划应当严格执行，不得随意调整或者修改；确需调整或者修改的，应当按照原审批程序报批。</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三峡工程建设用地按照批准的规划，一次审批，分期划拨，并依法办理土地权属变更登记手续。</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三峡工程建设移民迁建用地应当严格控制规模，并依据土地利用总体规划和土地利用年度计划，分批次逐级上报省级以上人民政府依法办理农用地转用和土地征用手续。移民迁建用地不得</w:t>
      </w:r>
      <w:r>
        <w:rPr>
          <w:rFonts w:ascii="仿宋_GB2312" w:eastAsia="仿宋_GB2312" w:hAnsi="仿宋_GB2312" w:cs="仿宋_GB2312" w:hint="eastAsia"/>
          <w:sz w:val="32"/>
          <w:szCs w:val="32"/>
        </w:rPr>
        <w:lastRenderedPageBreak/>
        <w:t>转让，不得用于非移民项目。</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因三峡工程建设和移民迁建，土地被全部征用并安置在第二产业、第三产业或者自谋职业的农村移民，经本人同意，由有关县、区人民政府批准，可以转为非农业户口。</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移民安置地的有关地方人民政府应当合理调整土地，鼓励移民在安置地发展优质、高效、高产农业和生态农业；有条件的地方，可以通过发展第二产业、第三产业安置移民</w:t>
      </w:r>
      <w:r>
        <w:rPr>
          <w:rFonts w:ascii="仿宋_GB2312" w:eastAsia="仿宋_GB2312" w:hAnsi="仿宋_GB2312" w:cs="仿宋_GB2312" w:hint="eastAsia"/>
          <w:sz w:val="32"/>
          <w:szCs w:val="32"/>
        </w:rPr>
        <w:t>。</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三峡工程建设移民安置实行就地安置与异地安置、集中安置与分散安置、政府安置与移民自找门路安置相结合。移民首先在本县、区安置；本县、区安置不了的，由湖北省、重庆市人民政府在本行政区域内其他市、县、区安置；湖北省、重庆市安置不了的，在其他省、自治区、直辖市安置。</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农村移民需要安置到本县、区其他农村集体经济组织的，由该农村集体经济组织与县、区人民政府移民管理机构或者负责移民管理工作的部门签订协议，并按照协议安排移民的生产、生活。</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移民在本县、区安置不了，需要在湖北省、重庆市行政区域</w:t>
      </w:r>
      <w:r>
        <w:rPr>
          <w:rFonts w:ascii="仿宋_GB2312" w:eastAsia="仿宋_GB2312" w:hAnsi="仿宋_GB2312" w:cs="仿宋_GB2312" w:hint="eastAsia"/>
          <w:sz w:val="32"/>
          <w:szCs w:val="32"/>
        </w:rPr>
        <w:t>内其他市、县、区安置的，由迁出地和安置地的市、县、区人民政府签订协议，办理有关手续。</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移民需要在湖北省、重庆市以外的地区安置的，分别由湖北</w:t>
      </w:r>
      <w:r>
        <w:rPr>
          <w:rFonts w:ascii="仿宋_GB2312" w:eastAsia="仿宋_GB2312" w:hAnsi="仿宋_GB2312" w:cs="仿宋_GB2312" w:hint="eastAsia"/>
          <w:sz w:val="32"/>
          <w:szCs w:val="32"/>
        </w:rPr>
        <w:lastRenderedPageBreak/>
        <w:t>省、重庆市人民政府与安置地的省、自治区、直辖市人民政府签订协议，办理有关手续。</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三峡工程受益地区和有条件的省、自治区、直辖市及其市、县、区应当接收政府组织外迁和投亲靠友自主外迁的三峡库区农村移民，并及时办理有关手续，统一安排移民的生产、生活。</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投亲靠友自主外迁的三峡库区农村移民，应当持有迁出地的县、区人民政府出具的证明。</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农村居民点迁建应当按照移民安置</w:t>
      </w:r>
      <w:r>
        <w:rPr>
          <w:rFonts w:ascii="仿宋_GB2312" w:eastAsia="仿宋_GB2312" w:hAnsi="仿宋_GB2312" w:cs="仿宋_GB2312" w:hint="eastAsia"/>
          <w:sz w:val="32"/>
          <w:szCs w:val="32"/>
        </w:rPr>
        <w:t>规划，依法编制新居民点建设规划。编制新居民点建设规划，应当因地制宜，有利生产，方便生活。</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新建居民点的道路、供水、供电等基础设施，由乡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、村统一组织施工。</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房屋拆迁补偿资金按照农村房屋补偿标准包干到户，由移民用于住房建设。</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移民建造住房，可以分户建造，也可以按照自愿原则统一建造。有关地方人民政府以及村民委员会不得强行规定建房标准。</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城镇迁建，应当按照移民安置规划，依法编制迁建区详细规划，并确定需要迁建的公共建筑和各项基础设施的具体位置。</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城镇公共建筑和各项基础设施迁建补偿资金实行包干管理，其数</w:t>
      </w:r>
      <w:r>
        <w:rPr>
          <w:rFonts w:ascii="仿宋_GB2312" w:eastAsia="仿宋_GB2312" w:hAnsi="仿宋_GB2312" w:cs="仿宋_GB2312" w:hint="eastAsia"/>
          <w:sz w:val="32"/>
          <w:szCs w:val="32"/>
        </w:rPr>
        <w:t>额按照实际淹没损失和适当发展的原则核定。</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城镇迁建中单位和居民搬迁的补偿资金实行包干管理，其数额按照实际淹没损失核定。</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需要迁建的城镇应当提前建设基础设施。</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对自筹资金或者使用非移民资金提前搬迁的单位和居民，有关地方人民政府不得减少其应得的移民资金数额。</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有关地方人民政府应当根据国家产业政策，结合技术改造，对需要搬迁的工矿企业进行统筹规划和结构调整。产品质量好、有市场的企业，可以通过对口支援，与名优企业合作、合资，把企业的搬迁与企业的重组结合起来；技术落后、浪费资源、产品质量低劣、污染</w:t>
      </w:r>
      <w:r>
        <w:rPr>
          <w:rFonts w:ascii="仿宋_GB2312" w:eastAsia="仿宋_GB2312" w:hAnsi="仿宋_GB2312" w:cs="仿宋_GB2312" w:hint="eastAsia"/>
          <w:sz w:val="32"/>
          <w:szCs w:val="32"/>
        </w:rPr>
        <w:t>严重的企业，应当依法实行兼并、破产或者关闭。</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有关地方人民政府应当妥善安排破产、关闭企业职工和离退休人员的基本生活，做好再就业和社会养老保险工作。</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工矿企业搬迁补偿资金实行包干管理，其数额按照实际淹没损失的重置价格核定。</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因三峡工程蓄水被淹没的公路、桥梁、港口、码头、水利工程、电力设施、电信线路、广播电视等基础设施和文物古迹需要复建的，应当根据复建规划，按照经济合理的原则，</w:t>
      </w:r>
      <w:r>
        <w:rPr>
          <w:rFonts w:ascii="仿宋_GB2312" w:eastAsia="仿宋_GB2312" w:hAnsi="仿宋_GB2312" w:cs="仿宋_GB2312" w:hint="eastAsia"/>
          <w:sz w:val="32"/>
          <w:szCs w:val="32"/>
        </w:rPr>
        <w:lastRenderedPageBreak/>
        <w:t>预先在淹没线以上复建。复建补偿资金实行包干管理，其数额按照原规模、原标准或者为恢复原功能所需投资核定。</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城镇迁建单位、工矿企业和居民的搬迁以及基础设施的复建，因扩大规模和提高标准超过包干资金的部分，分别由有关地方人民政府、有关单位、居民自行解决。</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移民工程建设应当做好项目前期论证工作。城镇、农村居民点、工矿企业、基础设施的选址和迁建，应当做好水文地质、工程地质勘察、地质灾害防治勘查和地质灾害危险性评估。</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移民工程建设应当履行基本建设程序，严格执行国务院</w:t>
      </w:r>
      <w:r>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月发布的《建设工程质量管理条例》规定的各项制度，确保建设工程质量。</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移民工程建设施工，应当保护生态环境，防止植被破坏和水土流</w:t>
      </w:r>
      <w:r>
        <w:rPr>
          <w:rFonts w:ascii="仿宋_GB2312" w:eastAsia="仿宋_GB2312" w:hAnsi="仿宋_GB2312" w:cs="仿宋_GB2312" w:hint="eastAsia"/>
          <w:sz w:val="32"/>
          <w:szCs w:val="32"/>
        </w:rPr>
        <w:t>失。</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安置移民生产，严禁开垦</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度以上的坡地；已经开垦的，应当按照规划退耕还林还草。对已经开垦的</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度以下的坡地，应当因地制宜，采取</w:t>
      </w:r>
      <w:r>
        <w:rPr>
          <w:rFonts w:hAnsi="宋体" w:cs="宋体"/>
          <w:sz w:val="32"/>
          <w:szCs w:val="32"/>
        </w:rPr>
        <w:t>“</w:t>
      </w:r>
      <w:r>
        <w:rPr>
          <w:rFonts w:ascii="仿宋_GB2312" w:eastAsia="仿宋_GB2312" w:hAnsi="仿宋_GB2312" w:cs="仿宋_GB2312" w:hint="eastAsia"/>
          <w:sz w:val="32"/>
          <w:szCs w:val="32"/>
        </w:rPr>
        <w:t>坡改梯</w:t>
      </w:r>
      <w:r>
        <w:rPr>
          <w:rFonts w:hAnsi="宋体" w:cs="宋体"/>
          <w:sz w:val="32"/>
          <w:szCs w:val="32"/>
        </w:rPr>
        <w:t>”</w:t>
      </w:r>
      <w:r>
        <w:rPr>
          <w:rFonts w:ascii="仿宋_GB2312" w:eastAsia="仿宋_GB2312" w:hAnsi="仿宋_GB2312" w:cs="仿宋_GB2312" w:hint="eastAsia"/>
          <w:sz w:val="32"/>
          <w:szCs w:val="32"/>
        </w:rPr>
        <w:t>措施，实行山水林田路综合规划治理。</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三峡工程淹没区的林木，在淹没前已经达到采伐利用标准的，经依法批准后，林木所有者可以采伐、销售；不</w:t>
      </w:r>
      <w:r>
        <w:rPr>
          <w:rFonts w:ascii="仿宋_GB2312" w:eastAsia="仿宋_GB2312" w:hAnsi="仿宋_GB2312" w:cs="仿宋_GB2312" w:hint="eastAsia"/>
          <w:sz w:val="32"/>
          <w:szCs w:val="32"/>
        </w:rPr>
        <w:lastRenderedPageBreak/>
        <w:t>能采伐利用的，淹没后按照《规划大纲》的规定给予补偿。</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三峡工程建设，应当按照</w:t>
      </w:r>
      <w:r>
        <w:rPr>
          <w:rFonts w:hAnsi="宋体" w:cs="宋体"/>
          <w:sz w:val="32"/>
          <w:szCs w:val="32"/>
        </w:rPr>
        <w:t>“</w:t>
      </w:r>
      <w:r>
        <w:rPr>
          <w:rFonts w:ascii="仿宋_GB2312" w:eastAsia="仿宋_GB2312" w:hAnsi="仿宋_GB2312" w:cs="仿宋_GB2312" w:hint="eastAsia"/>
          <w:sz w:val="32"/>
          <w:szCs w:val="32"/>
        </w:rPr>
        <w:t>保护为主、抢救第一</w:t>
      </w:r>
      <w:r>
        <w:rPr>
          <w:rFonts w:hAnsi="宋体" w:cs="宋体"/>
          <w:sz w:val="32"/>
          <w:szCs w:val="32"/>
        </w:rPr>
        <w:t>”</w:t>
      </w:r>
      <w:r>
        <w:rPr>
          <w:rFonts w:ascii="仿宋_GB2312" w:eastAsia="仿宋_GB2312" w:hAnsi="仿宋_GB2312" w:cs="仿宋_GB2312" w:hint="eastAsia"/>
          <w:sz w:val="32"/>
          <w:szCs w:val="32"/>
        </w:rPr>
        <w:t>和</w:t>
      </w:r>
      <w:r>
        <w:rPr>
          <w:rFonts w:hAnsi="宋体" w:cs="宋体"/>
          <w:sz w:val="32"/>
          <w:szCs w:val="32"/>
        </w:rPr>
        <w:t>“</w:t>
      </w:r>
      <w:r>
        <w:rPr>
          <w:rFonts w:ascii="仿宋_GB2312" w:eastAsia="仿宋_GB2312" w:hAnsi="仿宋_GB2312" w:cs="仿宋_GB2312" w:hint="eastAsia"/>
          <w:sz w:val="32"/>
          <w:szCs w:val="32"/>
        </w:rPr>
        <w:t>重点保护、重点发掘</w:t>
      </w:r>
      <w:r>
        <w:rPr>
          <w:rFonts w:hAnsi="宋体" w:cs="宋体"/>
          <w:sz w:val="32"/>
          <w:szCs w:val="32"/>
        </w:rPr>
        <w:t>”</w:t>
      </w:r>
      <w:r>
        <w:rPr>
          <w:rFonts w:ascii="仿宋_GB2312" w:eastAsia="仿宋_GB2312" w:hAnsi="仿宋_GB2312" w:cs="仿宋_GB2312" w:hint="eastAsia"/>
          <w:sz w:val="32"/>
          <w:szCs w:val="32"/>
        </w:rPr>
        <w:t>的原则，做好文物抢救、保护工作。</w:t>
      </w:r>
    </w:p>
    <w:p w:rsidR="003968D1" w:rsidRDefault="0034238D">
      <w:pPr>
        <w:pStyle w:val="2"/>
      </w:pPr>
      <w:r>
        <w:t>第三章　淹没区、安置区的管理</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有关地方人民政府应当加强对三峡工程淹没区基本建设的管理。任何单位和个人不得在淹没线以下擅自新建、扩建和改建项目。违反《国务院办公厅关于严格控制三峡工程坝区和库区淹没线以下区域人口增长和基本建设的通知》的规定，在</w:t>
      </w:r>
      <w:r>
        <w:rPr>
          <w:rFonts w:ascii="仿宋_GB2312" w:eastAsia="仿宋_GB2312" w:hAnsi="仿宋_GB2312" w:cs="仿宋_GB2312" w:hint="eastAsia"/>
          <w:sz w:val="32"/>
          <w:szCs w:val="32"/>
        </w:rPr>
        <w:t>1992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日后建设的项目，按照违章建筑处理。</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三峡库区有关公安机关应当加强对淹没区的户籍管理，严格控制非淹没区人口迁入淹没区。</w:t>
      </w:r>
      <w:r>
        <w:rPr>
          <w:rFonts w:ascii="仿宋_GB2312" w:eastAsia="仿宋_GB2312" w:hAnsi="仿宋_GB2312" w:cs="仿宋_GB2312" w:hint="eastAsia"/>
          <w:sz w:val="32"/>
          <w:szCs w:val="32"/>
        </w:rPr>
        <w:t>1992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日后，按照《国务院办公厅关于严格控制三峡工程坝区和库区淹没线以下区域人口增长和基本建设的通知》的规定允许迁入的人口，经县级以上人民政府公安机关批</w:t>
      </w:r>
      <w:r>
        <w:rPr>
          <w:rFonts w:ascii="仿宋_GB2312" w:eastAsia="仿宋_GB2312" w:hAnsi="仿宋_GB2312" w:cs="仿宋_GB2312" w:hint="eastAsia"/>
          <w:sz w:val="32"/>
          <w:szCs w:val="32"/>
        </w:rPr>
        <w:t>准入户的，由国家负责搬迁安置；因其他原因擅自迁入的人口，国家不负责搬迁安置。</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三峡库区各级地方人民政府和有关单位应当加强计划生育管理，控制人口增长，保证库区的人口出生率不超过湖北省、重庆市的规定。</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本条第一款所称允许迁入的人口，是指因出生、婚嫁、工作调动、军人转业退伍和高等院校、中等专业技术学校毕业分配以及刑满释放等迁入的人口。</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按照移民安置规划必须搬迁的单位和移民，不得拒绝搬迁或者拖延搬迁；已经搬迁并得到补偿和安置的，应当及时办理补偿销号手续，并不得返迁或者要求再次补偿。</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按照移民安置规划已经</w:t>
      </w:r>
      <w:r>
        <w:rPr>
          <w:rFonts w:ascii="仿宋_GB2312" w:eastAsia="仿宋_GB2312" w:hAnsi="仿宋_GB2312" w:cs="仿宋_GB2312" w:hint="eastAsia"/>
          <w:sz w:val="32"/>
          <w:szCs w:val="32"/>
        </w:rPr>
        <w:t>搬迁的单位和移民，其搬迁前使用的土地及其附着物由当地县级人民政府依法处理。</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三峡水库消落区的土地属于国家所有，由三峡水利枢纽管理单位负责管理，可以通过当地县级人民政府优先安排给当地农村移民使用；但是，不得影响水库安全、防洪、发电和生态环境保护。因蓄水给使用该土地的移民造成损失的，国家不予补偿。</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有关地方人民政府应当对三峡工程移民档案加强管理，确保档案完整、准确和安全。</w:t>
      </w:r>
    </w:p>
    <w:p w:rsidR="003968D1" w:rsidRDefault="0034238D">
      <w:pPr>
        <w:pStyle w:val="2"/>
      </w:pPr>
      <w:r>
        <w:t>第四章　移民资金使用的管理和监督</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移民资金实行静态控制，动态管理。除价格指数变动、国家政策调整和发生不可</w:t>
      </w:r>
      <w:r>
        <w:rPr>
          <w:rFonts w:ascii="仿宋_GB2312" w:eastAsia="仿宋_GB2312" w:hAnsi="仿宋_GB2312" w:cs="仿宋_GB2312" w:hint="eastAsia"/>
          <w:sz w:val="32"/>
          <w:szCs w:val="32"/>
        </w:rPr>
        <w:t>抗力外，不再增加移民资金。</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pacing w:val="6"/>
          <w:sz w:val="32"/>
          <w:szCs w:val="32"/>
        </w:rPr>
        <w:t>移民资金年度计划应当纳入国家年度投资</w:t>
      </w:r>
      <w:r>
        <w:rPr>
          <w:rFonts w:ascii="仿宋_GB2312" w:eastAsia="仿宋_GB2312" w:hAnsi="仿宋_GB2312" w:cs="仿宋_GB2312" w:hint="eastAsia"/>
          <w:spacing w:val="6"/>
          <w:sz w:val="32"/>
          <w:szCs w:val="32"/>
        </w:rPr>
        <w:lastRenderedPageBreak/>
        <w:t>计</w:t>
      </w:r>
      <w:r>
        <w:rPr>
          <w:rFonts w:ascii="仿宋_GB2312" w:eastAsia="仿宋_GB2312" w:hAnsi="仿宋_GB2312" w:cs="仿宋_GB2312" w:hint="eastAsia"/>
          <w:sz w:val="32"/>
          <w:szCs w:val="32"/>
        </w:rPr>
        <w:t>划。</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国务院三峡工程建设委员会移民管理机构根据经批准的三峡工程移民安置规划，组织编制移民资金年度计划，报国务院审批。</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县级以上地方人民政府移民管理机构或者负责移民管理工作的部门组织编制本行政区域的移民资金年度项目计划，经本级人民政府审核同意后报上一级人民政府移民管理机构审批。</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经批准的移民资金年度项目计划，不得擅自调整；确需调整的，应当报原审批机关批准。</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移民资金安排应当突出重点，保证移民安置进度与枢纽工程建设进度相适</w:t>
      </w:r>
      <w:r>
        <w:rPr>
          <w:rFonts w:ascii="仿宋_GB2312" w:eastAsia="仿宋_GB2312" w:hAnsi="仿宋_GB2312" w:cs="仿宋_GB2312" w:hint="eastAsia"/>
          <w:sz w:val="32"/>
          <w:szCs w:val="32"/>
        </w:rPr>
        <w:t>应。</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移民资金由有关地方人民政府按照移民安置规划安排使用。</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有移民安置任务的省、自治区、直辖市人民政府应当根据国家移民资金投资包干方案，将移民资金拨付到县级人民政府和有关单位，由县级人民政府和有关单位将移民资金具体落实到各类移民投资项目。</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移民资金应当在国务院三峡工程建设委员会移民管理机构或者省、自治区、直辖市人民政府移民管理机构指定的银行专户存储、专</w:t>
      </w:r>
      <w:r w:rsidR="00307E41">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核算。国务院或者省、自治区、直辖市人民政府确定的移民资金管理部门应当按</w:t>
      </w:r>
      <w:bookmarkStart w:id="0" w:name="_GoBack"/>
      <w:bookmarkEnd w:id="0"/>
      <w:r>
        <w:rPr>
          <w:rFonts w:ascii="仿宋_GB2312" w:eastAsia="仿宋_GB2312" w:hAnsi="仿宋_GB2312" w:cs="仿宋_GB2312" w:hint="eastAsia"/>
          <w:sz w:val="32"/>
          <w:szCs w:val="32"/>
        </w:rPr>
        <w:t>照包干方案、移民资金</w:t>
      </w:r>
      <w:r>
        <w:rPr>
          <w:rFonts w:ascii="仿宋_GB2312" w:eastAsia="仿宋_GB2312" w:hAnsi="仿宋_GB2312" w:cs="仿宋_GB2312" w:hint="eastAsia"/>
          <w:sz w:val="32"/>
          <w:szCs w:val="32"/>
        </w:rPr>
        <w:lastRenderedPageBreak/>
        <w:t>年度项目计划和进度及时拨付移民资金。</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移民资金应当用于下列项目：</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农村移民安置补偿；</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城镇迁建补偿；</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工矿企业迁建补偿；</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基础设施项目复建；</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环境保护；</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国务院三峡工程建设委员会移民管理机构规定的与移民有关的其他项目。</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任何部门、单位和个人不得挤占、截留和挪用移民资金。</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移民资金存储期间的孳息，应当纳入移民资金，不得挪作他用。</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有关地方人民政府设立的城镇迁建工程建设指挥部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管委会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不是一级财务核算单位，移民项目资金不得经其转拨。</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国家对移民资金的管理、拨付和安排使用实行稽察制度，对管理、拨付和安排使用移民资金的有关地方人民政府及其有关部门、机构的负责人实行任期经济责任审计制度。</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县级以上人民政府应当加强对下级人民政府及其有关部门管理、拨付和安排使用移民资金情况的监督。</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各级人民政府移民管理机构或者负责移民管理工作的部门应当加强内部审计和监察，定期向本级人民政府、上级主管部门报告移民资金年度项目计划执行情况、移民资金拨付和使用情况。</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有移民任务的乡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、村应当建立健全财务管理制度，乡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、村移民资金的使用情</w:t>
      </w:r>
      <w:r>
        <w:rPr>
          <w:rFonts w:ascii="仿宋_GB2312" w:eastAsia="仿宋_GB2312" w:hAnsi="仿宋_GB2312" w:cs="仿宋_GB2312" w:hint="eastAsia"/>
          <w:sz w:val="32"/>
          <w:szCs w:val="32"/>
        </w:rPr>
        <w:t>况应当张榜公布，接受群众监督。</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各级审计机关和监察、财政部门应当加强对移民资金管理、拨付和安排使用的审计和监察、监督，依法履行国家有关法律、法规赋予的职责。</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审计机关和监察、财政部门进行审计和监察、监督时，有关单位和个人应当予以配合，及时提供有关资料。</w:t>
      </w:r>
    </w:p>
    <w:p w:rsidR="003968D1" w:rsidRDefault="0034238D">
      <w:pPr>
        <w:pStyle w:val="2"/>
      </w:pPr>
      <w:r>
        <w:t>第五章　扶持措施</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国家从三峡电站的电价收入中提取一定资金设立三峡库区移民后期扶持基金，分配给湖北省、重庆市和接收外迁移民的省、自治区、直辖市人民政府，用于移民的后期扶持。具体办法由财政部会同国务院有关部门制定，报国务院批准后执行。</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w:t>
      </w:r>
      <w:r>
        <w:rPr>
          <w:rFonts w:ascii="方正黑体_GBK" w:eastAsia="方正黑体_GBK" w:hAnsi="方正黑体_GBK" w:cs="方正黑体_GBK" w:hint="eastAsia"/>
          <w:sz w:val="32"/>
          <w:szCs w:val="32"/>
        </w:rPr>
        <w:t xml:space="preserve">四十六条　</w:t>
      </w:r>
      <w:r>
        <w:rPr>
          <w:rFonts w:ascii="仿宋_GB2312" w:eastAsia="仿宋_GB2312" w:hAnsi="仿宋_GB2312" w:cs="仿宋_GB2312" w:hint="eastAsia"/>
          <w:sz w:val="32"/>
          <w:szCs w:val="32"/>
        </w:rPr>
        <w:t>三峡电站投产后缴纳的税款依法留给地方的</w:t>
      </w:r>
      <w:r>
        <w:rPr>
          <w:rFonts w:ascii="仿宋_GB2312" w:eastAsia="仿宋_GB2312" w:hAnsi="仿宋_GB2312" w:cs="仿宋_GB2312" w:hint="eastAsia"/>
          <w:sz w:val="32"/>
          <w:szCs w:val="32"/>
        </w:rPr>
        <w:lastRenderedPageBreak/>
        <w:t>部分，分配给湖北省、重庆市人民政府，用于支持三峡库区建设和生态环境保护。具体办法由财政部会同国务院有关部门制定，报国务院批准后执行。</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农村移民建房占用耕地，免征耕地占用税。三峡工程坝区和淹没区建设占用耕地，按照应纳税额的</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征收耕地占用税；城镇、企业事业单位搬迁和基础设施复建占用耕地，按照国家有关规定缴纳耕地占用税。缴纳的耕地占用税全部用于三峡库区农村移民安置。</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三峡电站投产后，应当优先安排三峡库区用电。</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国家将三峡库区有</w:t>
      </w:r>
      <w:r>
        <w:rPr>
          <w:rFonts w:ascii="仿宋_GB2312" w:eastAsia="仿宋_GB2312" w:hAnsi="仿宋_GB2312" w:cs="仿宋_GB2312" w:hint="eastAsia"/>
          <w:sz w:val="32"/>
          <w:szCs w:val="32"/>
        </w:rPr>
        <w:t>水电资源条件的受淹县、区列为农村水电初级电气化县，予以扶持。</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国家将三峡库区具备一定条件的受淹县、区优先列入生态农业试点示范县，予以扶持，并优先安排基本农田及水利专项资金，用于移民安置区农田水利建设。</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国务院有关部门和湖北省、重庆市人民政府及其有关部门在安排建设项目、分配资金时，对三峡库区有关县、区应当优先照顾。</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国务院有关部门和有关省、自治区、直辖市应当按照优势互补、互惠互利、长期合作、共同发展的原则，采取</w:t>
      </w:r>
      <w:r>
        <w:rPr>
          <w:rFonts w:ascii="仿宋_GB2312" w:eastAsia="仿宋_GB2312" w:hAnsi="仿宋_GB2312" w:cs="仿宋_GB2312" w:hint="eastAsia"/>
          <w:sz w:val="32"/>
          <w:szCs w:val="32"/>
        </w:rPr>
        <w:lastRenderedPageBreak/>
        <w:t>多种形式鼓励名优企业到三峡库区投资建厂，并从教育、文化、科技、人才、管理、信息、资金、物资等方面对口支援三峡库区移民。</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国家在三峡库区和三峡工程受益地区安排的建设项目，应当优先吸收符合条件的移民就业。</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国家对专门为安置农村移民开发的土地和新办的企业，依法减免农业税、农业特产农业税、企业所得税。</w:t>
      </w:r>
    </w:p>
    <w:p w:rsidR="003968D1" w:rsidRDefault="0034238D">
      <w:pPr>
        <w:pStyle w:val="2"/>
      </w:pPr>
      <w:r>
        <w:t>第六章　罚　　则</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违反本条例规定，未经批准，擅自调整、修改移民安置规划和移民资金年度</w:t>
      </w:r>
      <w:r>
        <w:rPr>
          <w:rFonts w:ascii="仿宋_GB2312" w:eastAsia="仿宋_GB2312" w:hAnsi="仿宋_GB2312" w:cs="仿宋_GB2312" w:hint="eastAsia"/>
          <w:sz w:val="32"/>
          <w:szCs w:val="32"/>
        </w:rPr>
        <w:t>项目计划的，由规划、计划的审批机关责令限期改正；逾期不改正的，对直接负责的主管人员和其他直接责任人员，依法给予行政处分。</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违反本条例规定，擅自将移民迁建用地的使用权转让或者用于非移民项目的，由县级以上人民政府土地行政主管部门会同同级移民管理机构依据职责，责令限期改正，没收违法所得，并处违法所得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倍以下的罚款。没收的违法所得和收缴的罚款，全部纳入移民资金，用于移民迁建。</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违反本条例规定，在淹没线以下擅自新建、扩建和改建项目的，由县级以上人民政府移民管理机构依据职责，</w:t>
      </w:r>
      <w:r>
        <w:rPr>
          <w:rFonts w:ascii="仿宋_GB2312" w:eastAsia="仿宋_GB2312" w:hAnsi="仿宋_GB2312" w:cs="仿宋_GB2312" w:hint="eastAsia"/>
          <w:sz w:val="32"/>
          <w:szCs w:val="32"/>
        </w:rPr>
        <w:lastRenderedPageBreak/>
        <w:t>责令停止违法</w:t>
      </w:r>
      <w:r>
        <w:rPr>
          <w:rFonts w:ascii="仿宋_GB2312" w:eastAsia="仿宋_GB2312" w:hAnsi="仿宋_GB2312" w:cs="仿宋_GB2312" w:hint="eastAsia"/>
          <w:sz w:val="32"/>
          <w:szCs w:val="32"/>
        </w:rPr>
        <w:t>行为，限期恢复原状，可以处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万元以下的罚款；造成损失的，依法承担赔偿责任。</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违反本条例规定，在移民搬迁和安置过程中，有下列行为之一的，由县级以上人民政府移民管理机构会同同级有关部门依据职责，责令限期改正，给予警告；构成违反治安管理行为的，由公安机关依法予以处罚：</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拒绝搬迁或者拖延搬迁的；</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按照规定标准已获得安置补偿，搬迁后又擅自返迁的；</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按照规定标准获得安置补偿后，无理要求再次补偿的。</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违反本条例规定，有下列行为之一的，由有关审计机关、财政部门依照审计、财政法律、法规的规定予以处罚；对直接负责的主管人员和其他直接责任人员，依法给予行政处分；构成犯罪的，依法追究刑事责任：</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将移民资金用于非移民项目、偿还非移民债务和平衡地方财政预算的；</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利用移民资金进行融资、投资和提供担保的；</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购买股票、债券和其他有价证券的；</w:t>
      </w:r>
    </w:p>
    <w:p w:rsidR="003968D1" w:rsidRDefault="0034238D">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利用其他方式挪用移民资金的。</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违反本条例规定，在国务院三峡工程建设委员会移民管理机构或者省、自治区、直辖市人民政府移民管理机构指</w:t>
      </w:r>
      <w:r>
        <w:rPr>
          <w:rFonts w:ascii="仿宋_GB2312" w:eastAsia="仿宋_GB2312" w:hAnsi="仿宋_GB2312" w:cs="仿宋_GB2312" w:hint="eastAsia"/>
          <w:sz w:val="32"/>
          <w:szCs w:val="32"/>
        </w:rPr>
        <w:lastRenderedPageBreak/>
        <w:t>定的银行之外的金融机构</w:t>
      </w:r>
      <w:r>
        <w:rPr>
          <w:rFonts w:ascii="仿宋_GB2312" w:eastAsia="仿宋_GB2312" w:hAnsi="仿宋_GB2312" w:cs="仿宋_GB2312" w:hint="eastAsia"/>
          <w:sz w:val="32"/>
          <w:szCs w:val="32"/>
        </w:rPr>
        <w:t>存储移民资金的，由县级以上人民政府移民管理机构按照职责分工，责令限期改正，给予警告；对直接负责的主管人员和其他直接责任人员，依法给予行政处分；有违法所得的，没收违法所得，并处违法所得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倍以下的罚款。</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违反本条例规定，挤占、截留移民资金的，由有关审计机关、财政部门依法予以追缴，可以处挤占、截留移民资金数额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倍以下的罚款；对直接负责的主管人员和其他直接责任人员，依法给予行政处分。</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在移民工程建设中，破坏植被和生态环境，造成水土流失的，依照环境保护法和水土保持法的有关规定处罚。</w:t>
      </w:r>
    </w:p>
    <w:p w:rsidR="003968D1" w:rsidRDefault="0034238D">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w:t>
      </w:r>
      <w:r>
        <w:rPr>
          <w:rFonts w:ascii="方正黑体_GBK" w:eastAsia="方正黑体_GBK" w:hAnsi="方正黑体_GBK" w:cs="方正黑体_GBK" w:hint="eastAsia"/>
          <w:sz w:val="32"/>
          <w:szCs w:val="32"/>
        </w:rPr>
        <w:t xml:space="preserve">六十三条　</w:t>
      </w:r>
      <w:r>
        <w:rPr>
          <w:rFonts w:ascii="仿宋_GB2312" w:eastAsia="仿宋_GB2312" w:hAnsi="仿宋_GB2312" w:cs="仿宋_GB2312" w:hint="eastAsia"/>
          <w:sz w:val="32"/>
          <w:szCs w:val="32"/>
        </w:rPr>
        <w:t>国家机关工作人员在移民工作中玩忽职守、滥用职权、徇私舞弊，构成犯罪的，依法追究刑事责任；尚不构成犯罪的，依法给予行政处分。</w:t>
      </w:r>
    </w:p>
    <w:p w:rsidR="003968D1" w:rsidRDefault="0034238D">
      <w:pPr>
        <w:pStyle w:val="2"/>
      </w:pPr>
      <w:r>
        <w:t>第七章　附　　则</w:t>
      </w:r>
    </w:p>
    <w:p w:rsidR="003968D1" w:rsidRDefault="0034238D">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本条例自</w:t>
      </w:r>
      <w:r>
        <w:rPr>
          <w:rFonts w:ascii="仿宋_GB2312" w:eastAsia="仿宋_GB2312" w:hAnsi="仿宋_GB2312" w:cs="仿宋_GB2312" w:hint="eastAsia"/>
          <w:sz w:val="32"/>
          <w:szCs w:val="32"/>
        </w:rPr>
        <w:t>2001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1993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日国务院公布施行的《长江三峡工程建设移民条例》同时废止。</w:t>
      </w:r>
    </w:p>
    <w:sectPr w:rsidR="003968D1" w:rsidSect="003968D1">
      <w:footerReference w:type="default" r:id="rId8"/>
      <w:pgSz w:w="11906" w:h="16838"/>
      <w:pgMar w:top="2098" w:right="1474" w:bottom="1984" w:left="1587" w:header="851" w:footer="992" w:gutter="0"/>
      <w:pgNumType w:fmt="numberInDash" w:start="1"/>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BAE4F8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38D" w:rsidRDefault="0034238D" w:rsidP="003968D1">
      <w:r>
        <w:separator/>
      </w:r>
    </w:p>
  </w:endnote>
  <w:endnote w:type="continuationSeparator" w:id="1">
    <w:p w:rsidR="0034238D" w:rsidRDefault="0034238D" w:rsidP="00396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8D1" w:rsidRDefault="003968D1">
    <w:pPr>
      <w:pStyle w:val="a7"/>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968D1" w:rsidRDefault="003968D1">
                <w:pPr>
                  <w:pStyle w:val="a7"/>
                  <w:rPr>
                    <w:sz w:val="24"/>
                  </w:rPr>
                </w:pPr>
                <w:r>
                  <w:rPr>
                    <w:rFonts w:hint="eastAsia"/>
                    <w:sz w:val="24"/>
                  </w:rPr>
                  <w:fldChar w:fldCharType="begin"/>
                </w:r>
                <w:r w:rsidR="0034238D">
                  <w:rPr>
                    <w:rFonts w:hint="eastAsia"/>
                    <w:sz w:val="24"/>
                  </w:rPr>
                  <w:instrText xml:space="preserve"> PAGE  \* MERGEFORMAT </w:instrText>
                </w:r>
                <w:r>
                  <w:rPr>
                    <w:rFonts w:hint="eastAsia"/>
                    <w:sz w:val="24"/>
                  </w:rPr>
                  <w:fldChar w:fldCharType="separate"/>
                </w:r>
                <w:r w:rsidR="00307E41">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38D" w:rsidRDefault="0034238D" w:rsidP="003968D1">
      <w:r>
        <w:separator/>
      </w:r>
    </w:p>
  </w:footnote>
  <w:footnote w:type="continuationSeparator" w:id="1">
    <w:p w:rsidR="0034238D" w:rsidRDefault="0034238D" w:rsidP="003968D1">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07E41"/>
    <w:rsid w:val="0034238D"/>
    <w:rsid w:val="003653A6"/>
    <w:rsid w:val="00365B84"/>
    <w:rsid w:val="003767F3"/>
    <w:rsid w:val="0038655D"/>
    <w:rsid w:val="003968D1"/>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B36C9"/>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B5634E"/>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8D1"/>
    <w:pPr>
      <w:widowControl w:val="0"/>
      <w:jc w:val="both"/>
    </w:pPr>
    <w:rPr>
      <w:kern w:val="2"/>
      <w:sz w:val="21"/>
    </w:rPr>
  </w:style>
  <w:style w:type="paragraph" w:styleId="1">
    <w:name w:val="heading 1"/>
    <w:basedOn w:val="a"/>
    <w:next w:val="a"/>
    <w:link w:val="1Char"/>
    <w:uiPriority w:val="9"/>
    <w:qFormat/>
    <w:rsid w:val="003968D1"/>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3968D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3968D1"/>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3968D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3968D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3968D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3968D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3968D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rsid w:val="003968D1"/>
    <w:pPr>
      <w:jc w:val="left"/>
    </w:pPr>
  </w:style>
  <w:style w:type="paragraph" w:styleId="a4">
    <w:name w:val="Body Text Indent"/>
    <w:basedOn w:val="a"/>
    <w:next w:val="a"/>
    <w:link w:val="Char"/>
    <w:uiPriority w:val="99"/>
    <w:unhideWhenUsed/>
    <w:qFormat/>
    <w:rsid w:val="003968D1"/>
    <w:pPr>
      <w:spacing w:before="100" w:beforeAutospacing="1" w:after="120"/>
      <w:ind w:leftChars="200" w:left="200"/>
    </w:pPr>
    <w:rPr>
      <w:szCs w:val="21"/>
    </w:rPr>
  </w:style>
  <w:style w:type="paragraph" w:styleId="a5">
    <w:name w:val="Plain Text"/>
    <w:basedOn w:val="a"/>
    <w:link w:val="Char0"/>
    <w:uiPriority w:val="99"/>
    <w:unhideWhenUsed/>
    <w:qFormat/>
    <w:rsid w:val="003968D1"/>
    <w:rPr>
      <w:rFonts w:ascii="宋体" w:hAnsi="Courier New" w:cs="Courier New"/>
      <w:szCs w:val="21"/>
    </w:rPr>
  </w:style>
  <w:style w:type="paragraph" w:styleId="a6">
    <w:name w:val="Balloon Text"/>
    <w:basedOn w:val="a"/>
    <w:link w:val="Char1"/>
    <w:uiPriority w:val="99"/>
    <w:semiHidden/>
    <w:unhideWhenUsed/>
    <w:qFormat/>
    <w:rsid w:val="003968D1"/>
    <w:rPr>
      <w:rFonts w:asciiTheme="minorHAnsi" w:eastAsiaTheme="minorEastAsia" w:hAnsiTheme="minorHAnsi" w:cstheme="minorBidi"/>
      <w:sz w:val="18"/>
      <w:szCs w:val="18"/>
    </w:rPr>
  </w:style>
  <w:style w:type="paragraph" w:styleId="a7">
    <w:name w:val="footer"/>
    <w:basedOn w:val="a"/>
    <w:link w:val="Char10"/>
    <w:uiPriority w:val="99"/>
    <w:unhideWhenUsed/>
    <w:qFormat/>
    <w:rsid w:val="003968D1"/>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Char2"/>
    <w:uiPriority w:val="99"/>
    <w:unhideWhenUsed/>
    <w:qFormat/>
    <w:rsid w:val="003968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footnote text"/>
    <w:basedOn w:val="a"/>
    <w:uiPriority w:val="99"/>
    <w:semiHidden/>
    <w:unhideWhenUsed/>
    <w:qFormat/>
    <w:rsid w:val="003968D1"/>
    <w:pPr>
      <w:snapToGrid w:val="0"/>
      <w:jc w:val="left"/>
    </w:pPr>
    <w:rPr>
      <w:rFonts w:asciiTheme="minorHAnsi" w:eastAsiaTheme="minorEastAsia" w:hAnsiTheme="minorHAnsi" w:cstheme="minorBidi"/>
      <w:sz w:val="18"/>
      <w:szCs w:val="18"/>
    </w:rPr>
  </w:style>
  <w:style w:type="paragraph" w:styleId="aa">
    <w:name w:val="Normal (Web)"/>
    <w:basedOn w:val="a"/>
    <w:uiPriority w:val="99"/>
    <w:unhideWhenUsed/>
    <w:qFormat/>
    <w:rsid w:val="003968D1"/>
    <w:pPr>
      <w:widowControl/>
      <w:spacing w:beforeAutospacing="1" w:afterAutospacing="1"/>
      <w:jc w:val="left"/>
    </w:pPr>
    <w:rPr>
      <w:rFonts w:ascii="宋体" w:hAnsi="宋体" w:hint="eastAsia"/>
      <w:kern w:val="0"/>
      <w:sz w:val="24"/>
      <w:szCs w:val="24"/>
    </w:rPr>
  </w:style>
  <w:style w:type="paragraph" w:styleId="ab">
    <w:name w:val="Title"/>
    <w:basedOn w:val="a"/>
    <w:next w:val="a"/>
    <w:link w:val="Char3"/>
    <w:uiPriority w:val="10"/>
    <w:qFormat/>
    <w:rsid w:val="003968D1"/>
    <w:pPr>
      <w:spacing w:before="240" w:after="60"/>
      <w:jc w:val="center"/>
      <w:outlineLvl w:val="0"/>
    </w:pPr>
    <w:rPr>
      <w:rFonts w:ascii="Cambria" w:hAnsi="Cambria"/>
      <w:b/>
      <w:sz w:val="32"/>
      <w:szCs w:val="32"/>
    </w:rPr>
  </w:style>
  <w:style w:type="table" w:styleId="ac">
    <w:name w:val="Table Grid"/>
    <w:basedOn w:val="a1"/>
    <w:uiPriority w:val="59"/>
    <w:qFormat/>
    <w:rsid w:val="003968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otnote reference"/>
    <w:basedOn w:val="a0"/>
    <w:uiPriority w:val="99"/>
    <w:semiHidden/>
    <w:unhideWhenUsed/>
    <w:qFormat/>
    <w:rsid w:val="003968D1"/>
    <w:rPr>
      <w:vertAlign w:val="superscript"/>
    </w:rPr>
  </w:style>
  <w:style w:type="character" w:customStyle="1" w:styleId="Char0">
    <w:name w:val="纯文本 Char"/>
    <w:basedOn w:val="a0"/>
    <w:link w:val="a5"/>
    <w:uiPriority w:val="99"/>
    <w:qFormat/>
    <w:rsid w:val="003968D1"/>
    <w:rPr>
      <w:rFonts w:ascii="宋体" w:eastAsia="宋体" w:hAnsi="Courier New" w:cs="Courier New"/>
      <w:szCs w:val="21"/>
    </w:rPr>
  </w:style>
  <w:style w:type="character" w:customStyle="1" w:styleId="Char2">
    <w:name w:val="页眉 Char"/>
    <w:basedOn w:val="a0"/>
    <w:link w:val="a8"/>
    <w:uiPriority w:val="99"/>
    <w:qFormat/>
    <w:rsid w:val="003968D1"/>
    <w:rPr>
      <w:sz w:val="18"/>
      <w:szCs w:val="18"/>
    </w:rPr>
  </w:style>
  <w:style w:type="character" w:customStyle="1" w:styleId="Char4">
    <w:name w:val="页脚 Char"/>
    <w:basedOn w:val="a0"/>
    <w:link w:val="a7"/>
    <w:uiPriority w:val="99"/>
    <w:qFormat/>
    <w:rsid w:val="003968D1"/>
    <w:rPr>
      <w:sz w:val="18"/>
      <w:szCs w:val="18"/>
    </w:rPr>
  </w:style>
  <w:style w:type="character" w:customStyle="1" w:styleId="1Char">
    <w:name w:val="标题 1 Char"/>
    <w:basedOn w:val="a0"/>
    <w:link w:val="1"/>
    <w:uiPriority w:val="9"/>
    <w:qFormat/>
    <w:rsid w:val="003968D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3968D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3968D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3968D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3968D1"/>
    <w:rPr>
      <w:b/>
      <w:bCs/>
      <w:sz w:val="28"/>
      <w:szCs w:val="28"/>
    </w:rPr>
  </w:style>
  <w:style w:type="character" w:customStyle="1" w:styleId="6Char">
    <w:name w:val="标题 6 Char"/>
    <w:basedOn w:val="a0"/>
    <w:link w:val="6"/>
    <w:uiPriority w:val="9"/>
    <w:semiHidden/>
    <w:qFormat/>
    <w:rsid w:val="003968D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3968D1"/>
    <w:rPr>
      <w:b/>
      <w:bCs/>
      <w:sz w:val="24"/>
      <w:szCs w:val="24"/>
    </w:rPr>
  </w:style>
  <w:style w:type="character" w:customStyle="1" w:styleId="8Char">
    <w:name w:val="标题 8 Char"/>
    <w:basedOn w:val="a0"/>
    <w:link w:val="8"/>
    <w:uiPriority w:val="9"/>
    <w:semiHidden/>
    <w:qFormat/>
    <w:rsid w:val="003968D1"/>
    <w:rPr>
      <w:rFonts w:asciiTheme="majorHAnsi" w:eastAsiaTheme="majorEastAsia" w:hAnsiTheme="majorHAnsi" w:cstheme="majorBidi"/>
      <w:sz w:val="24"/>
      <w:szCs w:val="24"/>
    </w:rPr>
  </w:style>
  <w:style w:type="character" w:customStyle="1" w:styleId="Char1">
    <w:name w:val="批注框文本 Char"/>
    <w:basedOn w:val="a0"/>
    <w:link w:val="a6"/>
    <w:uiPriority w:val="99"/>
    <w:semiHidden/>
    <w:qFormat/>
    <w:rsid w:val="003968D1"/>
    <w:rPr>
      <w:kern w:val="2"/>
      <w:sz w:val="18"/>
      <w:szCs w:val="18"/>
    </w:rPr>
  </w:style>
  <w:style w:type="character" w:customStyle="1" w:styleId="15">
    <w:name w:val="15"/>
    <w:basedOn w:val="a0"/>
    <w:qFormat/>
    <w:rsid w:val="003968D1"/>
    <w:rPr>
      <w:rFonts w:ascii="Times New Roman" w:hAnsi="Times New Roman" w:cs="Times New Roman" w:hint="default"/>
      <w:b/>
      <w:bCs/>
    </w:rPr>
  </w:style>
  <w:style w:type="character" w:customStyle="1" w:styleId="Char">
    <w:name w:val="正文文本缩进 Char"/>
    <w:basedOn w:val="a0"/>
    <w:link w:val="a4"/>
    <w:uiPriority w:val="99"/>
    <w:qFormat/>
    <w:rsid w:val="003968D1"/>
    <w:rPr>
      <w:rFonts w:ascii="Times New Roman" w:eastAsia="宋体" w:hAnsi="Times New Roman" w:cs="Times New Roman"/>
      <w:kern w:val="2"/>
      <w:sz w:val="21"/>
      <w:szCs w:val="21"/>
    </w:rPr>
  </w:style>
  <w:style w:type="character" w:customStyle="1" w:styleId="Char3">
    <w:name w:val="标题 Char"/>
    <w:basedOn w:val="a0"/>
    <w:link w:val="ab"/>
    <w:qFormat/>
    <w:rsid w:val="003968D1"/>
    <w:rPr>
      <w:rFonts w:ascii="Cambria" w:eastAsia="宋体" w:hAnsi="Cambria" w:cs="Cambria" w:hint="default"/>
      <w:b/>
      <w:kern w:val="2"/>
      <w:sz w:val="32"/>
      <w:szCs w:val="32"/>
    </w:rPr>
  </w:style>
  <w:style w:type="character" w:customStyle="1" w:styleId="Char10">
    <w:name w:val="页脚 Char1"/>
    <w:basedOn w:val="a0"/>
    <w:link w:val="a7"/>
    <w:qFormat/>
    <w:rsid w:val="003968D1"/>
    <w:rPr>
      <w:rFonts w:ascii="Times New Roman" w:eastAsia="宋体" w:hAnsi="Times New Roman" w:cs="Times New Roman" w:hint="default"/>
      <w:kern w:val="2"/>
      <w:sz w:val="18"/>
      <w:szCs w:val="18"/>
    </w:rPr>
  </w:style>
  <w:style w:type="character" w:styleId="ae">
    <w:name w:val="annotation reference"/>
    <w:basedOn w:val="a0"/>
    <w:uiPriority w:val="99"/>
    <w:semiHidden/>
    <w:unhideWhenUsed/>
    <w:rsid w:val="003968D1"/>
    <w:rPr>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1047</Words>
  <Characters>5972</Characters>
  <Application>Microsoft Office Word</Application>
  <DocSecurity>0</DocSecurity>
  <Lines>49</Lines>
  <Paragraphs>14</Paragraphs>
  <ScaleCrop>false</ScaleCrop>
  <Company>Microsoft</Company>
  <LinksUpToDate>false</LinksUpToDate>
  <CharactersWithSpaces>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33</cp:revision>
  <dcterms:created xsi:type="dcterms:W3CDTF">2019-05-21T02:29:00Z</dcterms:created>
  <dcterms:modified xsi:type="dcterms:W3CDTF">2022-10-30T05:21:00Z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