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BE2" w:rsidRDefault="001B0BE2">
      <w:pPr>
        <w:jc w:val="center"/>
        <w:rPr>
          <w:b/>
          <w:bCs/>
          <w:sz w:val="44"/>
          <w:szCs w:val="44"/>
        </w:rPr>
      </w:pPr>
    </w:p>
    <w:p w:rsidR="001B0BE2" w:rsidRDefault="00550BD8">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中华人民共和国水下文物保护管理条例</w:t>
      </w:r>
    </w:p>
    <w:p w:rsidR="001B0BE2" w:rsidRDefault="00550BD8">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w:t>
      </w:r>
      <w:r>
        <w:rPr>
          <w:rFonts w:ascii="楷体_GB2312" w:eastAsia="楷体_GB2312" w:hAnsi="楷体_GB2312" w:cs="楷体_GB2312" w:hint="eastAsia"/>
          <w:bCs w:val="0"/>
          <w:spacing w:val="-6"/>
        </w:rPr>
        <w:t>198</w:t>
      </w:r>
      <w:r>
        <w:rPr>
          <w:rFonts w:ascii="楷体_GB2312" w:eastAsia="楷体_GB2312" w:hAnsi="楷体_GB2312" w:cs="楷体_GB2312" w:hint="eastAsia"/>
          <w:bCs w:val="0"/>
          <w:spacing w:val="-6"/>
        </w:rPr>
        <w:t>9</w:t>
      </w:r>
      <w:r>
        <w:rPr>
          <w:rFonts w:ascii="楷体_GB2312" w:eastAsia="楷体_GB2312" w:hAnsi="楷体_GB2312" w:cs="楷体_GB2312" w:hint="eastAsia"/>
          <w:bCs w:val="0"/>
          <w:spacing w:val="-6"/>
        </w:rPr>
        <w:t>年</w:t>
      </w:r>
      <w:r>
        <w:rPr>
          <w:rFonts w:ascii="楷体_GB2312" w:eastAsia="楷体_GB2312" w:hAnsi="楷体_GB2312" w:cs="楷体_GB2312" w:hint="eastAsia"/>
          <w:bCs w:val="0"/>
          <w:spacing w:val="-6"/>
        </w:rPr>
        <w:t>10</w:t>
      </w:r>
      <w:r>
        <w:rPr>
          <w:rFonts w:ascii="楷体_GB2312" w:eastAsia="楷体_GB2312" w:hAnsi="楷体_GB2312" w:cs="楷体_GB2312" w:hint="eastAsia"/>
          <w:bCs w:val="0"/>
          <w:spacing w:val="-6"/>
        </w:rPr>
        <w:t>月</w:t>
      </w:r>
      <w:r>
        <w:rPr>
          <w:rFonts w:ascii="楷体_GB2312" w:eastAsia="楷体_GB2312" w:hAnsi="楷体_GB2312" w:cs="楷体_GB2312" w:hint="eastAsia"/>
          <w:bCs w:val="0"/>
          <w:spacing w:val="-6"/>
        </w:rPr>
        <w:t>20</w:t>
      </w:r>
      <w:r>
        <w:rPr>
          <w:rFonts w:ascii="楷体_GB2312" w:eastAsia="楷体_GB2312" w:hAnsi="楷体_GB2312" w:cs="楷体_GB2312" w:hint="eastAsia"/>
          <w:bCs w:val="0"/>
          <w:spacing w:val="-6"/>
        </w:rPr>
        <w:t>日中华人民共和国国务院令第</w:t>
      </w:r>
      <w:r>
        <w:rPr>
          <w:rFonts w:ascii="楷体_GB2312" w:eastAsia="楷体_GB2312" w:hAnsi="楷体_GB2312" w:cs="楷体_GB2312" w:hint="eastAsia"/>
          <w:bCs w:val="0"/>
          <w:spacing w:val="-6"/>
        </w:rPr>
        <w:t>42</w:t>
      </w:r>
      <w:r>
        <w:rPr>
          <w:rFonts w:ascii="楷体_GB2312" w:eastAsia="楷体_GB2312" w:hAnsi="楷体_GB2312" w:cs="楷体_GB2312" w:hint="eastAsia"/>
          <w:bCs w:val="0"/>
          <w:spacing w:val="-6"/>
        </w:rPr>
        <w:t>号发布　自发</w:t>
      </w:r>
      <w:r>
        <w:rPr>
          <w:rFonts w:ascii="楷体_GB2312" w:eastAsia="楷体_GB2312" w:hAnsi="楷体_GB2312" w:cs="楷体_GB2312" w:hint="eastAsia"/>
          <w:bCs w:val="0"/>
        </w:rPr>
        <w:t>布之日起施行</w:t>
      </w:r>
      <w:r>
        <w:rPr>
          <w:rFonts w:ascii="楷体_GB2312" w:eastAsia="楷体_GB2312" w:hAnsi="楷体_GB2312" w:cs="楷体_GB2312" w:hint="eastAsia"/>
          <w:bCs w:val="0"/>
        </w:rPr>
        <w:t>)</w:t>
      </w:r>
    </w:p>
    <w:p w:rsidR="001B0BE2" w:rsidRDefault="001B0BE2">
      <w:pPr>
        <w:pStyle w:val="a4"/>
        <w:ind w:firstLineChars="200" w:firstLine="640"/>
        <w:rPr>
          <w:rFonts w:ascii="方正黑体_GBK" w:eastAsia="方正黑体_GBK" w:hAnsi="方正黑体_GBK" w:cs="方正黑体_GBK"/>
          <w:sz w:val="32"/>
          <w:szCs w:val="32"/>
        </w:rPr>
      </w:pP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为了加强水下文物保护工作的管理，根据《中华人民共和国文物保护法》的有关规定，制定本条例。</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本条例所称水下文物，是指遗存于下列水域的具有历史、艺术和科学价值的人类文化遗产：</w:t>
      </w:r>
    </w:p>
    <w:p w:rsidR="001B0BE2" w:rsidRDefault="00550BD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遗存于中国</w:t>
      </w:r>
      <w:r>
        <w:rPr>
          <w:rFonts w:ascii="Times New Roman" w:eastAsia="仿宋_GB2312" w:hAnsi="Times New Roman" w:cs="Times New Roman"/>
          <w:sz w:val="32"/>
          <w:szCs w:val="32"/>
        </w:rPr>
        <w:t>内水、</w:t>
      </w:r>
      <w:r>
        <w:rPr>
          <w:rFonts w:ascii="仿宋_GB2312" w:eastAsia="仿宋_GB2312" w:hAnsi="仿宋_GB2312" w:cs="仿宋_GB2312" w:hint="eastAsia"/>
          <w:sz w:val="32"/>
          <w:szCs w:val="32"/>
        </w:rPr>
        <w:t>领海内的一切起源于中国的、起源国不明的和起源于外国的文物；</w:t>
      </w:r>
    </w:p>
    <w:p w:rsidR="001B0BE2" w:rsidRDefault="00550BD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遗存于中国领海以外依照中国法律由中国管辖的其他海域内的起源于中国的和起源国不明的文物；</w:t>
      </w:r>
    </w:p>
    <w:p w:rsidR="001B0BE2" w:rsidRDefault="00550BD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遗存于外国领海以外的其他管辖海域以及公海区域内的起源于中国的文物。</w:t>
      </w:r>
    </w:p>
    <w:p w:rsidR="001B0BE2" w:rsidRDefault="00550BD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前款规定内容不包括</w:t>
      </w:r>
      <w:r>
        <w:rPr>
          <w:rFonts w:ascii="仿宋_GB2312" w:eastAsia="仿宋_GB2312" w:hAnsi="仿宋_GB2312" w:cs="仿宋_GB2312" w:hint="eastAsia"/>
          <w:sz w:val="32"/>
          <w:szCs w:val="32"/>
        </w:rPr>
        <w:t>1911</w:t>
      </w:r>
      <w:r>
        <w:rPr>
          <w:rFonts w:ascii="仿宋_GB2312" w:eastAsia="仿宋_GB2312" w:hAnsi="仿宋_GB2312" w:cs="仿宋_GB2312" w:hint="eastAsia"/>
          <w:sz w:val="32"/>
          <w:szCs w:val="32"/>
        </w:rPr>
        <w:t>年以后的与重大历史事件、革命运动以及著名人物无关的水下遗存。</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例第二条第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项所规定的水下文物属于国家所有，国家对其行使管辖权；本条例第二条第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项所规</w:t>
      </w:r>
      <w:r>
        <w:rPr>
          <w:rFonts w:ascii="Times New Roman" w:eastAsia="仿宋_GB2312" w:hAnsi="Times New Roman" w:cs="Times New Roman"/>
          <w:sz w:val="32"/>
          <w:szCs w:val="32"/>
        </w:rPr>
        <w:lastRenderedPageBreak/>
        <w:t>定的水下文物，国家享有辨认器物物主的权利。</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国家文物局主管水下文物的登记注</w:t>
      </w:r>
      <w:r>
        <w:rPr>
          <w:rFonts w:ascii="Times New Roman" w:eastAsia="仿宋_GB2312" w:hAnsi="Times New Roman" w:cs="Times New Roman"/>
          <w:sz w:val="32"/>
          <w:szCs w:val="32"/>
        </w:rPr>
        <w:t>册、保护管理以及水下文物的考古勘探和发掘活动的审批工作。</w:t>
      </w:r>
    </w:p>
    <w:p w:rsidR="001B0BE2" w:rsidRDefault="00550BD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各级文物行政管理部门负责本行政区域水下文物的保护工作，会同文物考古研究机构负责水下文物的确认和价值鉴定工作。对于海域内的水下文物，国家文物局可以指定地方文物行政管理部门代为负责保护管理工作。</w:t>
      </w:r>
    </w:p>
    <w:p w:rsidR="001B0BE2" w:rsidRDefault="00550BD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根据水下文</w:t>
      </w:r>
      <w:r>
        <w:rPr>
          <w:rFonts w:ascii="仿宋_GB2312" w:eastAsia="仿宋_GB2312" w:hAnsi="仿宋_GB2312" w:cs="仿宋_GB2312" w:hint="eastAsia"/>
          <w:sz w:val="32"/>
          <w:szCs w:val="32"/>
        </w:rPr>
        <w:t>物的价值，国务院和省、自治区、直辖市人民政府可以依据《中华人民共和国文物保护法》第二章规定的有关程序，确定全国或者省级水下文物保护单位、水下文物保护区，并予公布。</w:t>
      </w:r>
    </w:p>
    <w:p w:rsidR="001B0BE2" w:rsidRDefault="00550BD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在水下文物保护单位和水下文物保护区内，禁止进行危及水下文物安全的捕捞、爆破等</w:t>
      </w:r>
      <w:r>
        <w:rPr>
          <w:rFonts w:ascii="Times New Roman" w:eastAsia="仿宋_GB2312" w:hAnsi="Times New Roman" w:cs="Times New Roman"/>
          <w:sz w:val="32"/>
          <w:szCs w:val="32"/>
        </w:rPr>
        <w:t>活动。</w:t>
      </w:r>
    </w:p>
    <w:p w:rsidR="001B0BE2" w:rsidRDefault="00550BD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任何单位或者个人</w:t>
      </w:r>
      <w:r>
        <w:rPr>
          <w:rFonts w:ascii="仿宋_GB2312" w:eastAsia="仿宋_GB2312" w:hAnsi="仿宋_GB2312" w:cs="仿宋_GB2312" w:hint="eastAsia"/>
          <w:sz w:val="32"/>
          <w:szCs w:val="32"/>
        </w:rPr>
        <w:t>以任何方式发现本条例第二条第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项所规定的水下文物，应当及时报告国家文物局或者地方文物行政管理部门；已打捞出水的，应当及时上缴国家文物局或者地方文物行政管理部门处理。</w:t>
      </w:r>
    </w:p>
    <w:p w:rsidR="001B0BE2" w:rsidRDefault="00550BD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任何单位或者个人以任何方式发现本条例第二条第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项所规定的水下文物，应当及时报告国家文物局或者地方文物行政管理部门；已打捞出水的，应当及时提供国家文物局</w:t>
      </w:r>
      <w:r>
        <w:rPr>
          <w:rFonts w:ascii="Times New Roman" w:eastAsia="仿宋_GB2312" w:hAnsi="Times New Roman" w:cs="Times New Roman"/>
          <w:sz w:val="32"/>
          <w:szCs w:val="32"/>
        </w:rPr>
        <w:t>或者地方文</w:t>
      </w:r>
      <w:r>
        <w:rPr>
          <w:rFonts w:ascii="Times New Roman" w:eastAsia="仿宋_GB2312" w:hAnsi="Times New Roman" w:cs="Times New Roman"/>
          <w:sz w:val="32"/>
          <w:szCs w:val="32"/>
        </w:rPr>
        <w:lastRenderedPageBreak/>
        <w:t>物行政管理部门辨认、鉴定。</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水下文物的考古勘探和发掘活动应当以文物保护和科学研究为目的。任何单位或者个人在中国管辖水域进行水下文物</w:t>
      </w:r>
      <w:r>
        <w:rPr>
          <w:rFonts w:ascii="Times New Roman" w:eastAsia="仿宋_GB2312" w:hAnsi="Times New Roman" w:cs="Times New Roman"/>
          <w:sz w:val="32"/>
          <w:szCs w:val="32"/>
        </w:rPr>
        <w:t>的考古勘探或者发掘活动，必须向国家文物局提出申请，并提供有关资料。未经国家文物局批准，任何单位或者个人不得以任何方式私自勘探或者发掘。</w:t>
      </w:r>
    </w:p>
    <w:p w:rsidR="001B0BE2" w:rsidRDefault="00550BD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外国国家、国际组织、外国法人或者自然人在中国管辖水域进行水下文物的考古勘探或者发掘活动，必须采取与中国合作的方式进行，其向国家文物局提出的申请，须由国家文物局报经国务院特别许可。</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任何单位或者个人经批准后实施水下文物考古勘探或者发掘活动，活动范围涉及港务监督部门管辖水域的，必须报请港务监督部门核准，由港务监督部门核准划定安全作业区，发布航行通告。</w:t>
      </w:r>
    </w:p>
    <w:p w:rsidR="001B0BE2" w:rsidRDefault="00550BD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任何单位或</w:t>
      </w:r>
      <w:r>
        <w:rPr>
          <w:rFonts w:ascii="Times New Roman" w:eastAsia="仿宋_GB2312" w:hAnsi="Times New Roman" w:cs="Times New Roman"/>
          <w:sz w:val="32"/>
          <w:szCs w:val="32"/>
        </w:rPr>
        <w:t>者个人实施水下文物考古勘探或者发掘活动时，还必须遵守中国其他</w:t>
      </w:r>
      <w:r>
        <w:rPr>
          <w:rFonts w:ascii="仿宋_GB2312" w:eastAsia="仿宋_GB2312" w:hAnsi="仿宋_GB2312" w:cs="仿宋_GB2312" w:hint="eastAsia"/>
          <w:sz w:val="32"/>
          <w:szCs w:val="32"/>
        </w:rPr>
        <w:t>有关法律、法规，接受有关部门的管理；遵守水下考古、潜水、航行等规程，确保人员和水下文物的安全；防止水体的环境污染，保护水下生物资源和其他自然资源不受损害；保护水面、水下的一切设施；不得妨碍交通运输、渔业生产、军事训练以及其他正常的水面、水下作业活动。</w:t>
      </w:r>
    </w:p>
    <w:p w:rsidR="001B0BE2" w:rsidRDefault="00550BD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第十条</w:t>
      </w:r>
      <w:r>
        <w:rPr>
          <w:rFonts w:ascii="Times New Roman" w:eastAsia="仿宋_GB2312" w:hAnsi="Times New Roman" w:cs="Times New Roman"/>
          <w:sz w:val="32"/>
          <w:szCs w:val="32"/>
        </w:rPr>
        <w:t xml:space="preserve">　保护水下文物有</w:t>
      </w:r>
      <w:r>
        <w:rPr>
          <w:rFonts w:ascii="仿宋_GB2312" w:eastAsia="仿宋_GB2312" w:hAnsi="仿宋_GB2312" w:cs="仿宋_GB2312" w:hint="eastAsia"/>
          <w:sz w:val="32"/>
          <w:szCs w:val="32"/>
        </w:rPr>
        <w:t>突出贡献，符合《中华人民共和国文物保护法》第二十九条各项规定情形的，给予表彰、奖励。</w:t>
      </w:r>
    </w:p>
    <w:p w:rsidR="001B0BE2" w:rsidRDefault="00550BD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违反本条例第五条、第六条、第七条的规定，破坏水下文物，私自勘探、发掘、打捞水下文物，或者隐匿、私分、贩运、非法出售、非法出口水下文物，具有《中华人民共和国文物保护法》第三十条、第三十一条各项规定情形的，依法给予行政处罚</w:t>
      </w:r>
      <w:r>
        <w:rPr>
          <w:rFonts w:ascii="Times New Roman" w:eastAsia="仿宋_GB2312" w:hAnsi="Times New Roman" w:cs="Times New Roman"/>
          <w:sz w:val="32"/>
          <w:szCs w:val="32"/>
        </w:rPr>
        <w:t>或者追究刑事责任。</w:t>
      </w:r>
    </w:p>
    <w:p w:rsidR="001B0BE2" w:rsidRDefault="00550BD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违反本条例第八条、第九条的规定，造成严重后果的，由文物行政管理部门会同有关部门责令停止作业限期改进或者给予撤销批准的行政处罚，可以</w:t>
      </w:r>
      <w:r>
        <w:rPr>
          <w:rFonts w:ascii="仿宋_GB2312" w:eastAsia="仿宋_GB2312" w:hAnsi="仿宋_GB2312" w:cs="仿宋_GB2312" w:hint="eastAsia"/>
          <w:sz w:val="32"/>
          <w:szCs w:val="32"/>
        </w:rPr>
        <w:t>并处</w:t>
      </w:r>
      <w:r w:rsidR="006058E0">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元至</w:t>
      </w:r>
      <w:r w:rsidR="006058E0">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万元的罚款。</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本条例由国家文物局负责解释。</w:t>
      </w:r>
    </w:p>
    <w:p w:rsidR="001B0BE2" w:rsidRDefault="00550BD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本条例的实施细则由国家文物局制定。</w:t>
      </w:r>
    </w:p>
    <w:p w:rsidR="001B0BE2" w:rsidRDefault="00550BD8">
      <w:pPr>
        <w:pStyle w:val="a4"/>
        <w:ind w:firstLineChars="200" w:firstLine="640"/>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本条例自发布之</w:t>
      </w:r>
      <w:bookmarkStart w:id="0" w:name="_GoBack"/>
      <w:bookmarkEnd w:id="0"/>
      <w:r>
        <w:rPr>
          <w:rFonts w:ascii="Times New Roman" w:eastAsia="仿宋_GB2312" w:hAnsi="Times New Roman" w:cs="Times New Roman"/>
          <w:sz w:val="32"/>
          <w:szCs w:val="32"/>
        </w:rPr>
        <w:t>日</w:t>
      </w:r>
      <w:r>
        <w:rPr>
          <w:rFonts w:ascii="Times New Roman" w:eastAsia="仿宋_GB2312" w:hAnsi="Times New Roman" w:cs="Times New Roman"/>
          <w:sz w:val="32"/>
          <w:szCs w:val="32"/>
        </w:rPr>
        <w:t>起施行。</w:t>
      </w:r>
    </w:p>
    <w:sectPr w:rsidR="001B0BE2" w:rsidSect="001B0BE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0BD8" w:rsidRDefault="00550BD8" w:rsidP="001B0BE2">
      <w:r>
        <w:separator/>
      </w:r>
    </w:p>
  </w:endnote>
  <w:endnote w:type="continuationSeparator" w:id="0">
    <w:p w:rsidR="00550BD8" w:rsidRDefault="00550BD8" w:rsidP="001B0B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BE2" w:rsidRDefault="001B0BE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1B0BE2" w:rsidRDefault="001B0BE2">
                <w:pPr>
                  <w:pStyle w:val="a6"/>
                  <w:rPr>
                    <w:sz w:val="24"/>
                  </w:rPr>
                </w:pPr>
                <w:r>
                  <w:rPr>
                    <w:rFonts w:hint="eastAsia"/>
                    <w:sz w:val="24"/>
                  </w:rPr>
                  <w:fldChar w:fldCharType="begin"/>
                </w:r>
                <w:r w:rsidR="00550BD8">
                  <w:rPr>
                    <w:rFonts w:hint="eastAsia"/>
                    <w:sz w:val="24"/>
                  </w:rPr>
                  <w:instrText xml:space="preserve"> PAGE  \* MERGEFORMAT </w:instrText>
                </w:r>
                <w:r>
                  <w:rPr>
                    <w:rFonts w:hint="eastAsia"/>
                    <w:sz w:val="24"/>
                  </w:rPr>
                  <w:fldChar w:fldCharType="separate"/>
                </w:r>
                <w:r w:rsidR="006058E0">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0BD8" w:rsidRDefault="00550BD8" w:rsidP="001B0BE2">
      <w:r>
        <w:separator/>
      </w:r>
    </w:p>
  </w:footnote>
  <w:footnote w:type="continuationSeparator" w:id="0">
    <w:p w:rsidR="00550BD8" w:rsidRDefault="00550BD8" w:rsidP="001B0B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0BE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50BD8"/>
    <w:rsid w:val="00574409"/>
    <w:rsid w:val="00574DA9"/>
    <w:rsid w:val="005B69ED"/>
    <w:rsid w:val="005D2AE0"/>
    <w:rsid w:val="005D75D2"/>
    <w:rsid w:val="005F72E4"/>
    <w:rsid w:val="0060161F"/>
    <w:rsid w:val="0060279C"/>
    <w:rsid w:val="00604330"/>
    <w:rsid w:val="006058E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0BE2"/>
    <w:pPr>
      <w:widowControl w:val="0"/>
      <w:jc w:val="both"/>
    </w:pPr>
    <w:rPr>
      <w:kern w:val="2"/>
      <w:sz w:val="21"/>
    </w:rPr>
  </w:style>
  <w:style w:type="paragraph" w:styleId="1">
    <w:name w:val="heading 1"/>
    <w:basedOn w:val="a"/>
    <w:next w:val="a"/>
    <w:link w:val="1Char"/>
    <w:uiPriority w:val="9"/>
    <w:qFormat/>
    <w:rsid w:val="001B0BE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1B0BE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1B0BE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1B0BE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1B0BE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1B0BE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1B0BE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1B0BE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1B0BE2"/>
    <w:pPr>
      <w:spacing w:before="100" w:beforeAutospacing="1" w:after="120"/>
      <w:ind w:leftChars="200" w:left="200"/>
    </w:pPr>
    <w:rPr>
      <w:szCs w:val="21"/>
    </w:rPr>
  </w:style>
  <w:style w:type="paragraph" w:styleId="a4">
    <w:name w:val="Plain Text"/>
    <w:basedOn w:val="a"/>
    <w:link w:val="Char0"/>
    <w:uiPriority w:val="99"/>
    <w:unhideWhenUsed/>
    <w:qFormat/>
    <w:rsid w:val="001B0BE2"/>
    <w:rPr>
      <w:rFonts w:ascii="宋体" w:hAnsi="Courier New" w:cs="Courier New"/>
      <w:szCs w:val="21"/>
    </w:rPr>
  </w:style>
  <w:style w:type="paragraph" w:styleId="a5">
    <w:name w:val="Balloon Text"/>
    <w:basedOn w:val="a"/>
    <w:link w:val="Char1"/>
    <w:uiPriority w:val="99"/>
    <w:semiHidden/>
    <w:unhideWhenUsed/>
    <w:qFormat/>
    <w:rsid w:val="001B0BE2"/>
    <w:rPr>
      <w:rFonts w:asciiTheme="minorHAnsi" w:eastAsiaTheme="minorEastAsia" w:hAnsiTheme="minorHAnsi" w:cstheme="minorBidi"/>
      <w:sz w:val="18"/>
      <w:szCs w:val="18"/>
    </w:rPr>
  </w:style>
  <w:style w:type="paragraph" w:styleId="a6">
    <w:name w:val="footer"/>
    <w:basedOn w:val="a"/>
    <w:link w:val="Char10"/>
    <w:uiPriority w:val="99"/>
    <w:unhideWhenUsed/>
    <w:qFormat/>
    <w:rsid w:val="001B0BE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1B0BE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1B0BE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1B0BE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1B0BE2"/>
    <w:pPr>
      <w:spacing w:before="240" w:after="60"/>
      <w:jc w:val="center"/>
      <w:outlineLvl w:val="0"/>
    </w:pPr>
    <w:rPr>
      <w:rFonts w:ascii="Cambria" w:hAnsi="Cambria"/>
      <w:b/>
      <w:sz w:val="32"/>
      <w:szCs w:val="32"/>
    </w:rPr>
  </w:style>
  <w:style w:type="table" w:styleId="ab">
    <w:name w:val="Table Grid"/>
    <w:basedOn w:val="a1"/>
    <w:uiPriority w:val="59"/>
    <w:qFormat/>
    <w:rsid w:val="001B0BE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1B0BE2"/>
    <w:rPr>
      <w:vertAlign w:val="superscript"/>
    </w:rPr>
  </w:style>
  <w:style w:type="character" w:customStyle="1" w:styleId="Char0">
    <w:name w:val="纯文本 Char"/>
    <w:basedOn w:val="a0"/>
    <w:link w:val="a4"/>
    <w:uiPriority w:val="99"/>
    <w:qFormat/>
    <w:rsid w:val="001B0BE2"/>
    <w:rPr>
      <w:rFonts w:ascii="宋体" w:eastAsia="宋体" w:hAnsi="Courier New" w:cs="Courier New"/>
      <w:szCs w:val="21"/>
    </w:rPr>
  </w:style>
  <w:style w:type="character" w:customStyle="1" w:styleId="Char2">
    <w:name w:val="页眉 Char"/>
    <w:basedOn w:val="a0"/>
    <w:link w:val="a7"/>
    <w:uiPriority w:val="99"/>
    <w:qFormat/>
    <w:rsid w:val="001B0BE2"/>
    <w:rPr>
      <w:sz w:val="18"/>
      <w:szCs w:val="18"/>
    </w:rPr>
  </w:style>
  <w:style w:type="character" w:customStyle="1" w:styleId="Char4">
    <w:name w:val="页脚 Char"/>
    <w:basedOn w:val="a0"/>
    <w:link w:val="a6"/>
    <w:uiPriority w:val="99"/>
    <w:qFormat/>
    <w:rsid w:val="001B0BE2"/>
    <w:rPr>
      <w:sz w:val="18"/>
      <w:szCs w:val="18"/>
    </w:rPr>
  </w:style>
  <w:style w:type="character" w:customStyle="1" w:styleId="1Char">
    <w:name w:val="标题 1 Char"/>
    <w:basedOn w:val="a0"/>
    <w:link w:val="1"/>
    <w:uiPriority w:val="9"/>
    <w:qFormat/>
    <w:rsid w:val="001B0BE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1B0BE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1B0BE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1B0BE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1B0BE2"/>
    <w:rPr>
      <w:b/>
      <w:bCs/>
      <w:sz w:val="28"/>
      <w:szCs w:val="28"/>
    </w:rPr>
  </w:style>
  <w:style w:type="character" w:customStyle="1" w:styleId="6Char">
    <w:name w:val="标题 6 Char"/>
    <w:basedOn w:val="a0"/>
    <w:link w:val="6"/>
    <w:uiPriority w:val="9"/>
    <w:semiHidden/>
    <w:qFormat/>
    <w:rsid w:val="001B0BE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1B0BE2"/>
    <w:rPr>
      <w:b/>
      <w:bCs/>
      <w:sz w:val="24"/>
      <w:szCs w:val="24"/>
    </w:rPr>
  </w:style>
  <w:style w:type="character" w:customStyle="1" w:styleId="8Char">
    <w:name w:val="标题 8 Char"/>
    <w:basedOn w:val="a0"/>
    <w:link w:val="8"/>
    <w:uiPriority w:val="9"/>
    <w:semiHidden/>
    <w:qFormat/>
    <w:rsid w:val="001B0BE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1B0BE2"/>
    <w:rPr>
      <w:kern w:val="2"/>
      <w:sz w:val="18"/>
      <w:szCs w:val="18"/>
    </w:rPr>
  </w:style>
  <w:style w:type="character" w:customStyle="1" w:styleId="15">
    <w:name w:val="15"/>
    <w:basedOn w:val="a0"/>
    <w:qFormat/>
    <w:rsid w:val="001B0BE2"/>
    <w:rPr>
      <w:rFonts w:ascii="Times New Roman" w:hAnsi="Times New Roman" w:cs="Times New Roman" w:hint="default"/>
      <w:b/>
      <w:bCs/>
    </w:rPr>
  </w:style>
  <w:style w:type="character" w:customStyle="1" w:styleId="Char">
    <w:name w:val="正文文本缩进 Char"/>
    <w:basedOn w:val="a0"/>
    <w:link w:val="a3"/>
    <w:uiPriority w:val="99"/>
    <w:qFormat/>
    <w:rsid w:val="001B0BE2"/>
    <w:rPr>
      <w:rFonts w:ascii="Times New Roman" w:eastAsia="宋体" w:hAnsi="Times New Roman" w:cs="Times New Roman"/>
      <w:kern w:val="2"/>
      <w:sz w:val="21"/>
      <w:szCs w:val="21"/>
    </w:rPr>
  </w:style>
  <w:style w:type="character" w:customStyle="1" w:styleId="Char3">
    <w:name w:val="标题 Char"/>
    <w:basedOn w:val="a0"/>
    <w:link w:val="aa"/>
    <w:qFormat/>
    <w:rsid w:val="001B0BE2"/>
    <w:rPr>
      <w:rFonts w:ascii="Cambria" w:eastAsia="宋体" w:hAnsi="Cambria" w:cs="Cambria" w:hint="default"/>
      <w:b/>
      <w:kern w:val="2"/>
      <w:sz w:val="32"/>
      <w:szCs w:val="32"/>
    </w:rPr>
  </w:style>
  <w:style w:type="character" w:customStyle="1" w:styleId="Char10">
    <w:name w:val="页脚 Char1"/>
    <w:basedOn w:val="a0"/>
    <w:link w:val="a6"/>
    <w:qFormat/>
    <w:rsid w:val="001B0BE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5DBAE4-52AE-4552-8796-2E0DCC94A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247</Words>
  <Characters>1411</Characters>
  <Application>Microsoft Office Word</Application>
  <DocSecurity>0</DocSecurity>
  <Lines>11</Lines>
  <Paragraphs>3</Paragraphs>
  <ScaleCrop>false</ScaleCrop>
  <Company/>
  <LinksUpToDate>false</LinksUpToDate>
  <CharactersWithSpaces>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