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2A8" w:rsidRDefault="009C02F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建设工程勘察设计管理条例</w:t>
      </w:r>
    </w:p>
    <w:p w:rsidR="009E52A8" w:rsidRDefault="009E52A8">
      <w:pPr>
        <w:pStyle w:val="a4"/>
        <w:ind w:firstLineChars="200" w:firstLine="616"/>
        <w:rPr>
          <w:rFonts w:ascii="楷体_GB2312" w:eastAsia="楷体_GB2312" w:hAnsi="楷体_GB2312" w:cs="楷体_GB2312"/>
          <w:spacing w:val="-6"/>
          <w:sz w:val="32"/>
          <w:szCs w:val="32"/>
        </w:rPr>
      </w:pPr>
    </w:p>
    <w:p w:rsidR="009E52A8" w:rsidRDefault="009C02F3">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293</w:t>
      </w:r>
      <w:r>
        <w:rPr>
          <w:rFonts w:ascii="楷体_GB2312" w:eastAsia="楷体_GB2312" w:hAnsi="楷体_GB2312" w:cs="楷体_GB2312" w:hint="eastAsia"/>
          <w:sz w:val="32"/>
          <w:szCs w:val="32"/>
        </w:rPr>
        <w:t>号公布　自公布之日起施行</w:t>
      </w:r>
      <w:r>
        <w:rPr>
          <w:rFonts w:ascii="楷体_GB2312" w:eastAsia="楷体_GB2312" w:hAnsi="楷体_GB2312" w:cs="楷体_GB2312" w:hint="eastAsia"/>
          <w:sz w:val="32"/>
          <w:szCs w:val="32"/>
        </w:rPr>
        <w:t>)</w:t>
      </w:r>
    </w:p>
    <w:p w:rsidR="009E52A8" w:rsidRDefault="009C02F3">
      <w:pPr>
        <w:pStyle w:val="2"/>
      </w:pPr>
      <w:r>
        <w:rPr>
          <w:rFonts w:hAnsi="宋体" w:cs="宋体"/>
        </w:rPr>
        <w:t>第一章　总　　则</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为了加强对建设工程勘察、设计活动的管理，保证建</w:t>
      </w:r>
      <w:r>
        <w:rPr>
          <w:rFonts w:ascii="仿宋_GB2312" w:eastAsia="仿宋_GB2312" w:hAnsi="仿宋_GB2312" w:cs="仿宋_GB2312" w:hint="eastAsia"/>
          <w:spacing w:val="-6"/>
          <w:sz w:val="32"/>
          <w:szCs w:val="32"/>
        </w:rPr>
        <w:t>设工程勘察、设计质量，保护人民生命和财产安全，制定本</w:t>
      </w:r>
      <w:r>
        <w:rPr>
          <w:rFonts w:ascii="仿宋_GB2312" w:eastAsia="仿宋_GB2312" w:hAnsi="仿宋_GB2312" w:cs="仿宋_GB2312" w:hint="eastAsia"/>
          <w:sz w:val="32"/>
          <w:szCs w:val="32"/>
        </w:rPr>
        <w:t>条例。</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从事建设工程勘察、设计活动，必须遵守本条例。</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本条例所称建设工程勘察，是指根据建设工程的要求</w:t>
      </w:r>
      <w:r>
        <w:rPr>
          <w:rFonts w:ascii="仿宋_GB2312" w:eastAsia="仿宋_GB2312" w:hAnsi="仿宋_GB2312" w:cs="仿宋_GB2312" w:hint="eastAsia"/>
          <w:sz w:val="32"/>
          <w:szCs w:val="32"/>
        </w:rPr>
        <w:t>，</w:t>
      </w:r>
      <w:bookmarkStart w:id="0" w:name="_GoBack"/>
      <w:bookmarkEnd w:id="0"/>
      <w:r>
        <w:rPr>
          <w:rFonts w:ascii="仿宋_GB2312" w:eastAsia="仿宋_GB2312" w:hAnsi="仿宋_GB2312" w:cs="仿宋_GB2312" w:hint="eastAsia"/>
          <w:sz w:val="32"/>
          <w:szCs w:val="32"/>
        </w:rPr>
        <w:t>查明、分析、评价建设场地的地质地理环境特征和岩土工程条件，编制建设工程勘察文件的活动。</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本条例所称建设工程设计，是指根据建设工程的要求，对建设工程所需的技术、经济、资源、环境等条件进行综合分析、论证，编制建设工程设计文件的活动。</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建设工程勘察、设计应当与社会、经济发展水平相适应，做到经济效益、社会效益和环境效益相统一。</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从事建设工程勘察、设计活动，应当坚持先勘察、后设计、再施工的原则。</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第五条</w:t>
      </w:r>
      <w:r>
        <w:rPr>
          <w:rFonts w:ascii="仿宋_GB2312" w:eastAsia="仿宋_GB2312" w:hAnsi="仿宋_GB2312" w:cs="仿宋_GB2312" w:hint="eastAsia"/>
          <w:sz w:val="32"/>
          <w:szCs w:val="32"/>
        </w:rPr>
        <w:t xml:space="preserve">　县级以上人民政府建设行政主管部门和交通、水利等有关部门应当依照本条例的规定，加强对建设工程勘察、设计活动的监督管理。</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建设工程勘察、设计单位必须依法进行建设工程勘察、设计，严格执行工程建设强制性标准，并对建设工程勘察、设计的质量负责。</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国家鼓励在建设工程勘察、设计活动中采用先进技术、先进工艺、先进设备、新型材料和现代管理方法。</w:t>
      </w:r>
    </w:p>
    <w:p w:rsidR="009E52A8" w:rsidRDefault="009C02F3">
      <w:pPr>
        <w:pStyle w:val="2"/>
      </w:pPr>
      <w:r>
        <w:t>第二章　资质资格管理</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国家对从事建设工程勘察、设计活动的单位，实行资质管理制度。具体办法由国务院建设行政主管部门商国务院有关部门制定。</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建设工程勘察、设计单</w:t>
      </w:r>
      <w:r>
        <w:rPr>
          <w:rFonts w:ascii="仿宋_GB2312" w:eastAsia="仿宋_GB2312" w:hAnsi="仿宋_GB2312" w:cs="仿宋_GB2312" w:hint="eastAsia"/>
          <w:sz w:val="32"/>
          <w:szCs w:val="32"/>
        </w:rPr>
        <w:t>位应当在其资质等级许可的范围内承揽建设工程勘察、设计业务。</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国家对从事建设工程勘察、设计活动的专业技术人</w:t>
      </w:r>
      <w:r>
        <w:rPr>
          <w:rFonts w:ascii="仿宋_GB2312" w:eastAsia="仿宋_GB2312" w:hAnsi="仿宋_GB2312" w:cs="仿宋_GB2312" w:hint="eastAsia"/>
          <w:sz w:val="32"/>
          <w:szCs w:val="32"/>
        </w:rPr>
        <w:lastRenderedPageBreak/>
        <w:t>员，实行执业资格注册管理制度。</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未经注册的建设工程勘察、设计人员，不得以注册执业人员的名义从事建设工程勘察、设计活动。</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建设工程勘察、设计注册执业人员和其他专业技术人员只能受聘于一个建设</w:t>
      </w:r>
      <w:r>
        <w:rPr>
          <w:rFonts w:ascii="仿宋_GB2312" w:eastAsia="仿宋_GB2312" w:hAnsi="仿宋_GB2312" w:cs="仿宋_GB2312" w:hint="eastAsia"/>
          <w:sz w:val="32"/>
          <w:szCs w:val="32"/>
        </w:rPr>
        <w:t>工程勘察、设计单位；未受聘于建设工程勘察、设计单位的，不得从事建设工程的勘察、设计活动。</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建设工程勘察、设计单位资质证书和执业人员注册证书，由国务院建设行政主管部门统一制作。</w:t>
      </w:r>
    </w:p>
    <w:p w:rsidR="009E52A8" w:rsidRDefault="009C02F3">
      <w:pPr>
        <w:pStyle w:val="2"/>
      </w:pPr>
      <w:r>
        <w:t>第三章　建设工程勘察设计发包与承包</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建设工程勘察、设计发包依法实行招标发包或者直接发包。</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建设工程勘察、设计应当依照《中华人民共和国招标投标法》的规定，实行招标发包。</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建设工程勘察、设计方案评标，应当以投标人的业绩、信誉和勘察、设计人员的能力以及勘察、设计方案的优劣为依据，进行综合评定。</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建设工程勘察、设计的招标人应当在评标委员会推荐的候选方案中确定中标方案。但是，建设工程勘察、设计的招标人认为评标委员会推荐的候选方案不能最大限度满足招标</w:t>
      </w:r>
      <w:r>
        <w:rPr>
          <w:rFonts w:ascii="仿宋_GB2312" w:eastAsia="仿宋_GB2312" w:hAnsi="仿宋_GB2312" w:cs="仿宋_GB2312" w:hint="eastAsia"/>
          <w:sz w:val="32"/>
          <w:szCs w:val="32"/>
        </w:rPr>
        <w:lastRenderedPageBreak/>
        <w:t>文件规定的要求的，应当依法重新招标。</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下列建设工程的勘察、设计，经有关主管部门批准，可以直接发包：</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采用特定的专利或者专有技术的；</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建筑艺术造型有特殊要求的；</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国务院规定的其他建设工程的勘察、设计。</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发包方不得将建设工程勘察、设计业务发包给不具有相应勘察、设计资质等级的建设工程勘察、设计单位。</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发包方</w:t>
      </w:r>
      <w:r>
        <w:rPr>
          <w:rFonts w:ascii="仿宋_GB2312" w:eastAsia="仿宋_GB2312" w:hAnsi="仿宋_GB2312" w:cs="仿宋_GB2312" w:hint="eastAsia"/>
          <w:sz w:val="32"/>
          <w:szCs w:val="32"/>
        </w:rPr>
        <w:t>可以将整个建设工程的勘察、设计发包给一个勘察、设计单位；也可以将建设工程的勘察、设计分别发包给几个勘察、设计单位。</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除建设工程主体部分的勘察、设计外，经发包方书面同意，承包方可以将建设工程其他部分的勘察、设计再分包给其他具有相应资质等级的建设工程勘察、设计单位。</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建设工程勘察、设计单位不得将所承揽的建设工程勘察、设计转包。</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承包方必须在建设工程勘察、设计资质证书规定的资质等级和业务范围内承揽建设工程的勘察、设计业务。</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建设工程勘察、设计的发包方与承包方，应当执行国家规定的建设工程勘察、设计程序。</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第二十三条</w:t>
      </w:r>
      <w:r>
        <w:rPr>
          <w:rFonts w:ascii="仿宋_GB2312" w:eastAsia="仿宋_GB2312" w:hAnsi="仿宋_GB2312" w:cs="仿宋_GB2312" w:hint="eastAsia"/>
          <w:sz w:val="32"/>
          <w:szCs w:val="32"/>
        </w:rPr>
        <w:t xml:space="preserve">　建设工程勘察、设计的发包方与承包方应当签订建设工程勘察、设计合同。</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建设工程勘察、设计发包方与承包方应当执行国家有关建设工程勘察费、设计费的管理规定。</w:t>
      </w:r>
    </w:p>
    <w:p w:rsidR="009E52A8" w:rsidRDefault="009C02F3">
      <w:pPr>
        <w:pStyle w:val="2"/>
      </w:pPr>
      <w:r>
        <w:t>第四章　建设工程勘察设计文件的编制与实施</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编制建设工程勘察、设计文件，应当以下列规定为依据：</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项目批准文件；</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城市规划；</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工程建设强制性标准；</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国家规定的建设工程勘察、设计深度要求。</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铁路、交通、水利等专业建设工程，还</w:t>
      </w:r>
      <w:r>
        <w:rPr>
          <w:rFonts w:ascii="仿宋_GB2312" w:eastAsia="仿宋_GB2312" w:hAnsi="仿宋_GB2312" w:cs="仿宋_GB2312" w:hint="eastAsia"/>
          <w:sz w:val="32"/>
          <w:szCs w:val="32"/>
        </w:rPr>
        <w:t>应当以专业规划的要求为依据。</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编制建设工程勘察文件，应当真实、准确，满足建设工程规划、选址、设计、岩土治理和施工的需要。</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编制方案设计文件，应当满足编制初步设计文件和控制概算的需要。</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编制初步设计文件，应当满足编制施工招标文件、主要设备材料订货和编制施工图设计文件的需要。</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编制施工图设计文件，应当满足设备材料采购、非标准设备制作和施工的需要，并注明建设工程合理使用年限。</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设计文件中选用的材料、构配件、设备，应当注明其规格、型号、性能等技术指标，其质量要求必须符合国家规定的标准。</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除有特殊要求的建筑材料、专用设备和工艺生产线等外，设计单位不得指定生产厂、供应商。</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建设单位、施工单位、监理单位不得修改建设工程勘察、设计文件；确需修改建设工程勘察、设计文件的，应当由原建设工程勘察、设计单位修改。经原建设工程勘察、设计单位书面同意，建设单位也可以委托其他具有相应资质的建设工程勘察、设计单位修改。修改单位对修改的勘察、设计文件承担相应责任。</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施工单位、监理单位发现建设工程勘察、设计文件不符合工程建设强制性标准、合同约定的质量要求的，应当报告建设单位，建设单位有权要求建设工程勘察、</w:t>
      </w:r>
      <w:r>
        <w:rPr>
          <w:rFonts w:ascii="仿宋_GB2312" w:eastAsia="仿宋_GB2312" w:hAnsi="仿宋_GB2312" w:cs="仿宋_GB2312" w:hint="eastAsia"/>
          <w:sz w:val="32"/>
          <w:szCs w:val="32"/>
        </w:rPr>
        <w:t>设计单位对建设工程勘察、设计文件进行补充、修改。</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建设工程勘察、设计文件内容需要作重大修改的，建设单位应当报经原审批机关批准后，方可修改。</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建设工程勘察、设计文件中规定采用的新技</w:t>
      </w:r>
      <w:r>
        <w:rPr>
          <w:rFonts w:ascii="仿宋_GB2312" w:eastAsia="仿宋_GB2312" w:hAnsi="仿宋_GB2312" w:cs="仿宋_GB2312" w:hint="eastAsia"/>
          <w:sz w:val="32"/>
          <w:szCs w:val="32"/>
        </w:rPr>
        <w:lastRenderedPageBreak/>
        <w:t>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建设工程勘察、设计单位应当在建设工程施工前，向施工单位和监理单位说明建设工程勘察、设计意图，</w:t>
      </w:r>
      <w:r>
        <w:rPr>
          <w:rFonts w:ascii="仿宋_GB2312" w:eastAsia="仿宋_GB2312" w:hAnsi="仿宋_GB2312" w:cs="仿宋_GB2312" w:hint="eastAsia"/>
          <w:sz w:val="32"/>
          <w:szCs w:val="32"/>
        </w:rPr>
        <w:t>解释建设工程勘察、设计文件。</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建设工程勘察、设计单位应当及时解决施工中出现的勘察、设计问题。</w:t>
      </w:r>
    </w:p>
    <w:p w:rsidR="009E52A8" w:rsidRDefault="009C02F3">
      <w:pPr>
        <w:pStyle w:val="2"/>
      </w:pPr>
      <w:r>
        <w:t>第五章　监督管理</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国务院建设行政主管部门对全国的建设工程勘察、设计活动实施统一监督管理。国务院铁路、交通、水利等有关部门按照国务院规定的职责分工，负责对全国的有关专业建设工程勘察、设计活动的监督管理。</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建设行政主管部门对本行政区域内的建设工程勘察、设计活动实施监督管理。县级以上地方人民政府交通、水利等有关部门在各自的职责范围内，负责对本行政区域内的有关专业建设工程勘察、设计活动的监督</w:t>
      </w:r>
      <w:r>
        <w:rPr>
          <w:rFonts w:ascii="仿宋_GB2312" w:eastAsia="仿宋_GB2312" w:hAnsi="仿宋_GB2312" w:cs="仿宋_GB2312" w:hint="eastAsia"/>
          <w:sz w:val="32"/>
          <w:szCs w:val="32"/>
        </w:rPr>
        <w:t>管理。</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建设工程勘察、设计单位在建设工程勘察、设</w:t>
      </w:r>
      <w:r>
        <w:rPr>
          <w:rFonts w:ascii="仿宋_GB2312" w:eastAsia="仿宋_GB2312" w:hAnsi="仿宋_GB2312" w:cs="仿宋_GB2312" w:hint="eastAsia"/>
          <w:sz w:val="32"/>
          <w:szCs w:val="32"/>
        </w:rPr>
        <w:lastRenderedPageBreak/>
        <w:t>计资质证书规定的业务范围内跨部门、跨地区承揽勘察、设计业务的，有关地方人民政府及其所属部门不得设置障碍，不得违反国家规定收取任何费用。</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县级以上人民政府建设行政主管部门或者交通、水利等有关部门应当对施工图设计文件中涉及公共利益、公众安全、工程建设强制性标准的内容进行审查。</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施工图设计文件未经审查批准的，不得使用。</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任何单位和个人对建设工程勘察、设计活动中的违法行为都有权检举、控告、投诉。</w:t>
      </w:r>
    </w:p>
    <w:p w:rsidR="009E52A8" w:rsidRDefault="009C02F3">
      <w:pPr>
        <w:pStyle w:val="2"/>
      </w:pPr>
      <w:r>
        <w:t>第六章　罚　　则</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违反本</w:t>
      </w:r>
      <w:r>
        <w:rPr>
          <w:rFonts w:ascii="仿宋_GB2312" w:eastAsia="仿宋_GB2312" w:hAnsi="仿宋_GB2312" w:cs="仿宋_GB2312" w:hint="eastAsia"/>
          <w:sz w:val="32"/>
          <w:szCs w:val="32"/>
        </w:rPr>
        <w:t>条例第八条规定的，责令停止违法行为，处合同约定的勘察费、设计费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倍以下的罚款，有违法所得的，予以没收；可以责令停业整顿，降低资质等级；情节严重的，吊销资质证书。</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未取得资质证书承揽工程的，予以取缔，依照前款规定处以罚款；有违法所得的，予以没收。</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以欺骗手段取得资质证书承揽工程的，吊销资质证书，依照本条第一款规定处以罚款；有违法所得的，予以没收。</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违反本条例规定，未经注册，擅自以注册建设</w:t>
      </w:r>
      <w:r>
        <w:rPr>
          <w:rFonts w:ascii="仿宋_GB2312" w:eastAsia="仿宋_GB2312" w:hAnsi="仿宋_GB2312" w:cs="仿宋_GB2312" w:hint="eastAsia"/>
          <w:sz w:val="32"/>
          <w:szCs w:val="32"/>
        </w:rPr>
        <w:lastRenderedPageBreak/>
        <w:t>工程勘察、设计人员的名义从事建设工程勘察、设计活动的，责令停止违法行为，没收违法所得，处违法所得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倍以下罚款；给他人造成损失的，依法承担赔偿责任。</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倍以下的罚款；情节严重的，可以责令停止执行业务或者吊销资格证书；给他人造成损</w:t>
      </w:r>
      <w:r>
        <w:rPr>
          <w:rFonts w:ascii="仿宋_GB2312" w:eastAsia="仿宋_GB2312" w:hAnsi="仿宋_GB2312" w:cs="仿宋_GB2312" w:hint="eastAsia"/>
          <w:sz w:val="32"/>
          <w:szCs w:val="32"/>
        </w:rPr>
        <w:t>失的，依法承担赔偿责任。</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违反本条例规定，发包方将建设工程勘察、设计业务发包给不具有相应资质等级的建设工程勘察、设计单位的，责令改正，处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违反本条例规定，建设工程勘察、设计单位将所承揽的建设工程勘察、设计转包的，责令改正，没收违法所得，处合同约定的勘察费、设计费</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以下的罚款，可以责令停业整顿，降低资质等级；情节严重的，吊销资质证书。</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违反本条例规定，有下列行为之一的，依照《建设工程质量管理条例》第六十三条的规定给予处罚：</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勘察单位未按照工程建设强制性标准进行勘察的；</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设计单位未根据勘察成果文件进行工程设计的；</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设计单位指定建筑材料、建筑构配件的生产厂、供应商的；</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设计单位未按照工程建设强制性标准进行设计的。</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本条例规定的责令停业整顿、降低资质等级和吊销资质证书、资格证书的行政处罚，由颁发资质证书、资格证书的机关决定；其他行政处罚，由建设行政主管部门或者其他有关部门依据法定职权范围决定。</w:t>
      </w:r>
    </w:p>
    <w:p w:rsidR="009E52A8" w:rsidRDefault="009C02F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依照本条例规定被吊销资质证书的，由工商行政管理部门吊销其营业执照。</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国家机关工作人员在建设工程勘察、设计活动的监督管理工作中玩忽职守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滥用职权、徇私舞弊，构成犯罪的，依法追究刑事责任；尚不构成犯罪的，依法给予行政处分。</w:t>
      </w:r>
    </w:p>
    <w:p w:rsidR="009E52A8" w:rsidRDefault="009C02F3">
      <w:pPr>
        <w:pStyle w:val="2"/>
      </w:pPr>
      <w:r>
        <w:t>第七章　附　　则</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抢险救灾及其他临时性建筑和农民自建两层以下住宅的勘察、设计活动，不适用本条例。</w:t>
      </w:r>
    </w:p>
    <w:p w:rsidR="009E52A8" w:rsidRDefault="009C02F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军事建设工程勘察、设计的管理，按照中央军事委员会的有关规定执行。</w:t>
      </w:r>
    </w:p>
    <w:p w:rsidR="009E52A8" w:rsidRDefault="009C02F3">
      <w:pPr>
        <w:pStyle w:val="a4"/>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本条例自公布之日起施行。</w:t>
      </w:r>
    </w:p>
    <w:sectPr w:rsidR="009E52A8" w:rsidSect="009E52A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2F3" w:rsidRDefault="009C02F3" w:rsidP="009E52A8">
      <w:r>
        <w:separator/>
      </w:r>
    </w:p>
  </w:endnote>
  <w:endnote w:type="continuationSeparator" w:id="1">
    <w:p w:rsidR="009C02F3" w:rsidRDefault="009C02F3" w:rsidP="009E5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2A8" w:rsidRDefault="009E52A8">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E52A8" w:rsidRDefault="009E52A8">
                <w:pPr>
                  <w:pStyle w:val="a6"/>
                  <w:rPr>
                    <w:sz w:val="24"/>
                  </w:rPr>
                </w:pPr>
                <w:r>
                  <w:rPr>
                    <w:rFonts w:hint="eastAsia"/>
                    <w:sz w:val="24"/>
                  </w:rPr>
                  <w:fldChar w:fldCharType="begin"/>
                </w:r>
                <w:r w:rsidR="009C02F3">
                  <w:rPr>
                    <w:rFonts w:hint="eastAsia"/>
                    <w:sz w:val="24"/>
                  </w:rPr>
                  <w:instrText xml:space="preserve"> PAGE  \* MERGEFORMAT </w:instrText>
                </w:r>
                <w:r>
                  <w:rPr>
                    <w:rFonts w:hint="eastAsia"/>
                    <w:sz w:val="24"/>
                  </w:rPr>
                  <w:fldChar w:fldCharType="separate"/>
                </w:r>
                <w:r w:rsidR="007418F6">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2F3" w:rsidRDefault="009C02F3" w:rsidP="009E52A8">
      <w:r>
        <w:separator/>
      </w:r>
    </w:p>
  </w:footnote>
  <w:footnote w:type="continuationSeparator" w:id="1">
    <w:p w:rsidR="009C02F3" w:rsidRDefault="009C02F3" w:rsidP="009E52A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418F6"/>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C02F3"/>
    <w:rsid w:val="009D67A7"/>
    <w:rsid w:val="009E52A8"/>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8A33F6"/>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A8"/>
    <w:pPr>
      <w:widowControl w:val="0"/>
      <w:jc w:val="both"/>
    </w:pPr>
    <w:rPr>
      <w:kern w:val="2"/>
      <w:sz w:val="21"/>
    </w:rPr>
  </w:style>
  <w:style w:type="paragraph" w:styleId="1">
    <w:name w:val="heading 1"/>
    <w:basedOn w:val="a"/>
    <w:next w:val="a"/>
    <w:link w:val="1Char"/>
    <w:uiPriority w:val="9"/>
    <w:qFormat/>
    <w:rsid w:val="009E52A8"/>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E52A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E52A8"/>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E52A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E52A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E52A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E52A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E52A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E52A8"/>
    <w:pPr>
      <w:spacing w:before="100" w:beforeAutospacing="1" w:after="120"/>
      <w:ind w:leftChars="200" w:left="200"/>
    </w:pPr>
    <w:rPr>
      <w:szCs w:val="21"/>
    </w:rPr>
  </w:style>
  <w:style w:type="paragraph" w:styleId="a4">
    <w:name w:val="Plain Text"/>
    <w:basedOn w:val="a"/>
    <w:link w:val="Char0"/>
    <w:uiPriority w:val="99"/>
    <w:unhideWhenUsed/>
    <w:qFormat/>
    <w:rsid w:val="009E52A8"/>
    <w:rPr>
      <w:rFonts w:ascii="宋体" w:hAnsi="Courier New" w:cs="Courier New"/>
      <w:szCs w:val="21"/>
    </w:rPr>
  </w:style>
  <w:style w:type="paragraph" w:styleId="a5">
    <w:name w:val="Balloon Text"/>
    <w:basedOn w:val="a"/>
    <w:link w:val="Char1"/>
    <w:uiPriority w:val="99"/>
    <w:semiHidden/>
    <w:unhideWhenUsed/>
    <w:qFormat/>
    <w:rsid w:val="009E52A8"/>
    <w:rPr>
      <w:rFonts w:asciiTheme="minorHAnsi" w:eastAsiaTheme="minorEastAsia" w:hAnsiTheme="minorHAnsi" w:cstheme="minorBidi"/>
      <w:sz w:val="18"/>
      <w:szCs w:val="18"/>
    </w:rPr>
  </w:style>
  <w:style w:type="paragraph" w:styleId="a6">
    <w:name w:val="footer"/>
    <w:basedOn w:val="a"/>
    <w:link w:val="Char10"/>
    <w:uiPriority w:val="99"/>
    <w:unhideWhenUsed/>
    <w:qFormat/>
    <w:rsid w:val="009E52A8"/>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E52A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E52A8"/>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E52A8"/>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E52A8"/>
    <w:pPr>
      <w:spacing w:before="240" w:after="60"/>
      <w:jc w:val="center"/>
      <w:outlineLvl w:val="0"/>
    </w:pPr>
    <w:rPr>
      <w:rFonts w:ascii="Cambria" w:hAnsi="Cambria"/>
      <w:b/>
      <w:sz w:val="32"/>
      <w:szCs w:val="32"/>
    </w:rPr>
  </w:style>
  <w:style w:type="table" w:styleId="ab">
    <w:name w:val="Table Grid"/>
    <w:basedOn w:val="a1"/>
    <w:uiPriority w:val="59"/>
    <w:qFormat/>
    <w:rsid w:val="009E52A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E52A8"/>
    <w:rPr>
      <w:vertAlign w:val="superscript"/>
    </w:rPr>
  </w:style>
  <w:style w:type="character" w:customStyle="1" w:styleId="Char0">
    <w:name w:val="纯文本 Char"/>
    <w:basedOn w:val="a0"/>
    <w:link w:val="a4"/>
    <w:uiPriority w:val="99"/>
    <w:qFormat/>
    <w:rsid w:val="009E52A8"/>
    <w:rPr>
      <w:rFonts w:ascii="宋体" w:eastAsia="宋体" w:hAnsi="Courier New" w:cs="Courier New"/>
      <w:szCs w:val="21"/>
    </w:rPr>
  </w:style>
  <w:style w:type="character" w:customStyle="1" w:styleId="Char2">
    <w:name w:val="页眉 Char"/>
    <w:basedOn w:val="a0"/>
    <w:link w:val="a7"/>
    <w:uiPriority w:val="99"/>
    <w:qFormat/>
    <w:rsid w:val="009E52A8"/>
    <w:rPr>
      <w:sz w:val="18"/>
      <w:szCs w:val="18"/>
    </w:rPr>
  </w:style>
  <w:style w:type="character" w:customStyle="1" w:styleId="Char4">
    <w:name w:val="页脚 Char"/>
    <w:basedOn w:val="a0"/>
    <w:link w:val="a6"/>
    <w:uiPriority w:val="99"/>
    <w:qFormat/>
    <w:rsid w:val="009E52A8"/>
    <w:rPr>
      <w:sz w:val="18"/>
      <w:szCs w:val="18"/>
    </w:rPr>
  </w:style>
  <w:style w:type="character" w:customStyle="1" w:styleId="1Char">
    <w:name w:val="标题 1 Char"/>
    <w:basedOn w:val="a0"/>
    <w:link w:val="1"/>
    <w:uiPriority w:val="9"/>
    <w:qFormat/>
    <w:rsid w:val="009E52A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E52A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E52A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E52A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E52A8"/>
    <w:rPr>
      <w:b/>
      <w:bCs/>
      <w:sz w:val="28"/>
      <w:szCs w:val="28"/>
    </w:rPr>
  </w:style>
  <w:style w:type="character" w:customStyle="1" w:styleId="6Char">
    <w:name w:val="标题 6 Char"/>
    <w:basedOn w:val="a0"/>
    <w:link w:val="6"/>
    <w:uiPriority w:val="9"/>
    <w:semiHidden/>
    <w:qFormat/>
    <w:rsid w:val="009E52A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E52A8"/>
    <w:rPr>
      <w:b/>
      <w:bCs/>
      <w:sz w:val="24"/>
      <w:szCs w:val="24"/>
    </w:rPr>
  </w:style>
  <w:style w:type="character" w:customStyle="1" w:styleId="8Char">
    <w:name w:val="标题 8 Char"/>
    <w:basedOn w:val="a0"/>
    <w:link w:val="8"/>
    <w:uiPriority w:val="9"/>
    <w:semiHidden/>
    <w:qFormat/>
    <w:rsid w:val="009E52A8"/>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E52A8"/>
    <w:rPr>
      <w:kern w:val="2"/>
      <w:sz w:val="18"/>
      <w:szCs w:val="18"/>
    </w:rPr>
  </w:style>
  <w:style w:type="character" w:customStyle="1" w:styleId="15">
    <w:name w:val="15"/>
    <w:basedOn w:val="a0"/>
    <w:qFormat/>
    <w:rsid w:val="009E52A8"/>
    <w:rPr>
      <w:rFonts w:ascii="Times New Roman" w:hAnsi="Times New Roman" w:cs="Times New Roman" w:hint="default"/>
      <w:b/>
      <w:bCs/>
    </w:rPr>
  </w:style>
  <w:style w:type="character" w:customStyle="1" w:styleId="Char">
    <w:name w:val="正文文本缩进 Char"/>
    <w:basedOn w:val="a0"/>
    <w:link w:val="a3"/>
    <w:uiPriority w:val="99"/>
    <w:qFormat/>
    <w:rsid w:val="009E52A8"/>
    <w:rPr>
      <w:rFonts w:ascii="Times New Roman" w:eastAsia="宋体" w:hAnsi="Times New Roman" w:cs="Times New Roman"/>
      <w:kern w:val="2"/>
      <w:sz w:val="21"/>
      <w:szCs w:val="21"/>
    </w:rPr>
  </w:style>
  <w:style w:type="character" w:customStyle="1" w:styleId="Char3">
    <w:name w:val="标题 Char"/>
    <w:basedOn w:val="a0"/>
    <w:link w:val="aa"/>
    <w:qFormat/>
    <w:rsid w:val="009E52A8"/>
    <w:rPr>
      <w:rFonts w:ascii="Cambria" w:eastAsia="宋体" w:hAnsi="Cambria" w:cs="Cambria" w:hint="default"/>
      <w:b/>
      <w:kern w:val="2"/>
      <w:sz w:val="32"/>
      <w:szCs w:val="32"/>
    </w:rPr>
  </w:style>
  <w:style w:type="character" w:customStyle="1" w:styleId="Char10">
    <w:name w:val="页脚 Char1"/>
    <w:basedOn w:val="a0"/>
    <w:link w:val="a6"/>
    <w:qFormat/>
    <w:rsid w:val="009E52A8"/>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643</Words>
  <Characters>3671</Characters>
  <Application>Microsoft Office Word</Application>
  <DocSecurity>0</DocSecurity>
  <Lines>30</Lines>
  <Paragraphs>8</Paragraphs>
  <ScaleCrop>false</ScaleCrop>
  <Company>Microsoft</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