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75CE" w:rsidRDefault="009A75CE">
      <w:pPr>
        <w:jc w:val="center"/>
        <w:rPr>
          <w:b/>
          <w:bCs/>
          <w:sz w:val="44"/>
          <w:szCs w:val="44"/>
        </w:rPr>
      </w:pPr>
    </w:p>
    <w:p w:rsidR="009A75CE" w:rsidRDefault="00827C1A">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实验动物管理条例</w:t>
      </w:r>
    </w:p>
    <w:p w:rsidR="009A75CE" w:rsidRDefault="009A75CE">
      <w:pPr>
        <w:pStyle w:val="a4"/>
        <w:ind w:firstLineChars="200" w:firstLine="640"/>
        <w:jc w:val="left"/>
        <w:rPr>
          <w:rFonts w:ascii="楷体_GB2312" w:eastAsia="楷体_GB2312" w:hAnsi="楷体_GB2312" w:cs="楷体_GB2312"/>
          <w:sz w:val="32"/>
          <w:szCs w:val="32"/>
        </w:rPr>
      </w:pPr>
    </w:p>
    <w:p w:rsidR="009A75CE" w:rsidRDefault="00827C1A">
      <w:pPr>
        <w:pStyle w:val="a4"/>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31</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1988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14</w:t>
      </w:r>
      <w:r>
        <w:rPr>
          <w:rFonts w:ascii="楷体_GB2312" w:eastAsia="楷体_GB2312" w:hAnsi="楷体_GB2312" w:cs="楷体_GB2312" w:hint="eastAsia"/>
          <w:sz w:val="32"/>
          <w:szCs w:val="32"/>
        </w:rPr>
        <w:t>日国家科学技术委员会令第</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w:t>
      </w:r>
      <w:bookmarkStart w:id="0" w:name="_GoBack"/>
      <w:bookmarkEnd w:id="0"/>
      <w:r>
        <w:rPr>
          <w:rFonts w:ascii="楷体_GB2312" w:eastAsia="楷体_GB2312" w:hAnsi="楷体_GB2312" w:cs="楷体_GB2312" w:hint="eastAsia"/>
          <w:sz w:val="32"/>
          <w:szCs w:val="32"/>
        </w:rPr>
        <w:t>修订</w:t>
      </w:r>
      <w:r>
        <w:rPr>
          <w:rFonts w:ascii="楷体_GB2312" w:eastAsia="楷体_GB2312" w:hAnsi="楷体_GB2312" w:cs="楷体_GB2312" w:hint="eastAsia"/>
          <w:sz w:val="32"/>
          <w:szCs w:val="32"/>
        </w:rPr>
        <w:t>)</w:t>
      </w:r>
    </w:p>
    <w:p w:rsidR="009A75CE" w:rsidRDefault="00827C1A">
      <w:pPr>
        <w:pStyle w:val="2"/>
      </w:pPr>
      <w:r>
        <w:rPr>
          <w:rFonts w:ascii="Times New Roman" w:hAnsi="Times New Roman" w:cs="Times New Roman"/>
        </w:rPr>
        <w:t>第一章　总　　则</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为了加强实验动物的管理工作，保证实验动物质量，适应科学研究、经济建设和社会发展的需要，制定本条例。</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本条例所称实验动物，是指经人工饲育，对其携带的微生物实行控制，遗传背景明确或者来源清楚的，用于科学研究、教学、生产、检定以及其他科学实验的动物。</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本条例适用于从事实验动物的研究、保种、饲育、供应、应用、管理和监督的单位和个人。</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实验动物的管理，应当遵循统一规划、合理分工，有利于促进实验动物科学研究和应用的原则。</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国家科学技术委员会主管全国实验动物工作。</w:t>
      </w:r>
    </w:p>
    <w:p w:rsidR="009A75CE" w:rsidRDefault="00827C1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省、自治区、直辖市科学技术委员会主管本地区的实验动物工作。</w:t>
      </w:r>
    </w:p>
    <w:p w:rsidR="009A75CE" w:rsidRDefault="00827C1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国务院各有关部门负责管理本部门的实验动物工作。</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国家实行实验动物</w:t>
      </w:r>
      <w:r>
        <w:rPr>
          <w:rFonts w:ascii="Times New Roman" w:eastAsia="仿宋_GB2312" w:hAnsi="Times New Roman" w:cs="Times New Roman"/>
          <w:sz w:val="32"/>
          <w:szCs w:val="32"/>
        </w:rPr>
        <w:t>的质量监督和质量合格认证制度。具体办法由国家科学技术委员会另行制定。</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实验动物遗传学、微生物学、营养学和饲育环境等方面的国家标准由国家技术监督局制定。</w:t>
      </w:r>
    </w:p>
    <w:p w:rsidR="009A75CE" w:rsidRDefault="00827C1A">
      <w:pPr>
        <w:pStyle w:val="2"/>
      </w:pPr>
      <w:r>
        <w:t>第二章　实验动物的饲育管理</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从事实验动物饲育工作的单位，必须根据遗传学、微生物学、营养学和饲育环境方面的标准，定期对实验动物进行质量监测。各项作业过程和监测数据应有完整、准确的记录，并建立统计报告制度。</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实验动物的饲育室、实验室应设在不同区域，并进行严格隔离。</w:t>
      </w:r>
    </w:p>
    <w:p w:rsidR="009A75CE" w:rsidRDefault="00827C1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实验动物饲育室、实验室要有科学的管理制度和操作规程。</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实验动物的保种、饲育应采用国内或国外认可的品种、品系，并持有效的合格证书。</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实验动物必须按照不同来源，不同品种、品系和不同的实验目的，分开饲养。</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实验动物分为四级：一级，普通动物；二级，清洁动物；三级，无特定病原体动物；四级，无菌动物。</w:t>
      </w:r>
    </w:p>
    <w:p w:rsidR="009A75CE" w:rsidRDefault="00827C1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对不同等级的实验动物，应当按照相应的微生物控制标准进行管理。</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实验动物必须饲喂质量合格的全价饲料。霉烂、变质、虫蛀、污染的饲料，不得用于饲喂实验动物。直接用作饲料的蔬菜、水果等，要经过清洗消毒，并保持新鲜。</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一级实验动物的饮水，应当符合城市生活饮水的卫生标准。二、三、四级实验动物的饮水，应当符合城市生活饮水的卫生标准并经灭菌处理。</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实验动物的垫料应当按照不同等级实验动物的需要，进行相应处理，达到清洁、干燥、吸水、无毒、无虫、无感染源、无污染。</w:t>
      </w:r>
    </w:p>
    <w:p w:rsidR="009A75CE" w:rsidRDefault="00827C1A">
      <w:pPr>
        <w:pStyle w:val="2"/>
      </w:pPr>
      <w:r>
        <w:t>第三章　实验动物的检疫和传染病控制</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对引入的实验动物，必须进行隔离检疫。</w:t>
      </w:r>
    </w:p>
    <w:p w:rsidR="009A75CE" w:rsidRDefault="00827C1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为补充种源或开发新品种而捕捉的野生动物，必须在当地进行隔离检疫，并取得动物检疫部门出具的证明。野生动物运抵实验动物处所，需经再次检疫，方可进入实验动物饲育室。</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对必须进</w:t>
      </w:r>
      <w:r>
        <w:rPr>
          <w:rFonts w:ascii="Times New Roman" w:eastAsia="仿宋_GB2312" w:hAnsi="Times New Roman" w:cs="Times New Roman"/>
          <w:sz w:val="32"/>
          <w:szCs w:val="32"/>
        </w:rPr>
        <w:t>行预防接种的实验动物，应当根据实验要求或者按照《</w:t>
      </w:r>
      <w:r>
        <w:rPr>
          <w:rFonts w:ascii="Times New Roman" w:eastAsia="仿宋_GB2312" w:hAnsi="Times New Roman" w:cs="Times New Roman" w:hint="eastAsia"/>
          <w:sz w:val="32"/>
          <w:szCs w:val="32"/>
        </w:rPr>
        <w:t>中华人民共和国动物防疫法</w:t>
      </w:r>
      <w:r>
        <w:rPr>
          <w:rFonts w:ascii="Times New Roman" w:eastAsia="仿宋_GB2312" w:hAnsi="Times New Roman" w:cs="Times New Roman"/>
          <w:sz w:val="32"/>
          <w:szCs w:val="32"/>
        </w:rPr>
        <w:t>》的有关规定，进行预防接种，但用作生物制品原料的实验动物除外。</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第十八条　</w:t>
      </w:r>
      <w:r>
        <w:rPr>
          <w:rFonts w:ascii="Times New Roman" w:eastAsia="仿宋_GB2312" w:hAnsi="Times New Roman" w:cs="Times New Roman"/>
          <w:sz w:val="32"/>
          <w:szCs w:val="32"/>
        </w:rPr>
        <w:t>实验动物患病死亡的，应当及时查明原因，妥善处理，并记录在案。</w:t>
      </w:r>
    </w:p>
    <w:p w:rsidR="009A75CE" w:rsidRDefault="00827C1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验动物患有传染性疾病的，必须立即视情况分别予以销毁或者隔离治疗。对可能被传染的实验动物，进行紧急预防接种，对饲育室内外可能被污染的区域采取严格消毒措施，并报告上级实验动物管理部门和当地动物检疫、卫生防疫单位，采取紧急预防措施，防止疫病蔓延。</w:t>
      </w:r>
    </w:p>
    <w:p w:rsidR="009A75CE" w:rsidRDefault="00827C1A">
      <w:pPr>
        <w:pStyle w:val="2"/>
      </w:pPr>
      <w:r>
        <w:t>第四章　实验动物的应用</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应用实验动物应当根据不同的</w:t>
      </w:r>
      <w:r>
        <w:rPr>
          <w:rFonts w:ascii="Times New Roman" w:eastAsia="仿宋_GB2312" w:hAnsi="Times New Roman" w:cs="Times New Roman"/>
          <w:sz w:val="32"/>
          <w:szCs w:val="32"/>
        </w:rPr>
        <w:t>实验目的，选用相应的合格实验动物。申报科研课题和鉴定科研成果，应当把应用合格实验动物作为基本条件。应用不合格实验动物取得的检定或者安全评价结果无效，所生产的制品不得使用。</w:t>
      </w:r>
    </w:p>
    <w:p w:rsidR="009A75CE" w:rsidRDefault="00827C1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供应用</w:t>
      </w:r>
      <w:r>
        <w:rPr>
          <w:rFonts w:ascii="仿宋_GB2312" w:eastAsia="仿宋_GB2312" w:hAnsi="仿宋_GB2312" w:cs="仿宋_GB2312" w:hint="eastAsia"/>
          <w:sz w:val="32"/>
          <w:szCs w:val="32"/>
        </w:rPr>
        <w:t>的实验动物应当具备下列完整的资料：</w:t>
      </w:r>
    </w:p>
    <w:p w:rsidR="009A75CE" w:rsidRDefault="00827C1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品种、品系及亚系的确切名称；</w:t>
      </w:r>
    </w:p>
    <w:p w:rsidR="009A75CE" w:rsidRDefault="00827C1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遗传背景或其来源；</w:t>
      </w:r>
    </w:p>
    <w:p w:rsidR="009A75CE" w:rsidRDefault="00827C1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微生物检测状况；</w:t>
      </w:r>
    </w:p>
    <w:p w:rsidR="009A75CE" w:rsidRDefault="00827C1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合格证书；</w:t>
      </w:r>
    </w:p>
    <w:p w:rsidR="009A75CE" w:rsidRDefault="00827C1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饲育单位负责人签名。</w:t>
      </w:r>
    </w:p>
    <w:p w:rsidR="009A75CE" w:rsidRDefault="00827C1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无上述资料的实验动物不得应用。</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第二十一条　</w:t>
      </w:r>
      <w:r>
        <w:rPr>
          <w:rFonts w:ascii="Times New Roman" w:eastAsia="仿宋_GB2312" w:hAnsi="Times New Roman" w:cs="Times New Roman"/>
          <w:sz w:val="32"/>
          <w:szCs w:val="32"/>
        </w:rPr>
        <w:t>实验动物的运输工作应当有专人负责。实验动物的装运工具应当安全、可靠。不得将不同品种、品系或者不同等级的实验动物混</w:t>
      </w:r>
      <w:r>
        <w:rPr>
          <w:rFonts w:ascii="Times New Roman" w:eastAsia="仿宋_GB2312" w:hAnsi="Times New Roman" w:cs="Times New Roman"/>
          <w:sz w:val="32"/>
          <w:szCs w:val="32"/>
        </w:rPr>
        <w:t>合装运。</w:t>
      </w:r>
    </w:p>
    <w:p w:rsidR="009A75CE" w:rsidRDefault="00827C1A">
      <w:pPr>
        <w:pStyle w:val="2"/>
      </w:pPr>
      <w:r>
        <w:t>第五章　实验动物的进口与出口管理</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从国外进口作为原种的实验动物，应附有饲育单位负责人签发的品系和亚系名称以及遗传和微生物状况等资料。</w:t>
      </w:r>
    </w:p>
    <w:p w:rsidR="009A75CE" w:rsidRDefault="00827C1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无上述资料的实验动物不得进口和应用。</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实验动物工作单位从国外进口实验动物原种，必须向国家科学技术委员会指定的保种、育种和质量监控单位登记。</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出口实验动物，必须报国家科学技术委员会审批。经批准后，方可办理出口手续。</w:t>
      </w:r>
    </w:p>
    <w:p w:rsidR="009A75CE" w:rsidRDefault="00827C1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出口应用国家重点保护的野生动物物种开发的实验动物，必须按照国家的有关规定，取得出口许可证后，方可办理出口手续。</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进口、出口实验</w:t>
      </w:r>
      <w:r>
        <w:rPr>
          <w:rFonts w:ascii="仿宋_GB2312" w:eastAsia="仿宋_GB2312" w:hAnsi="仿宋_GB2312" w:cs="仿宋_GB2312" w:hint="eastAsia"/>
          <w:sz w:val="32"/>
          <w:szCs w:val="32"/>
        </w:rPr>
        <w:t>动物的检疫工作，按照《中华人民共和国进出</w:t>
      </w:r>
      <w:r w:rsidR="00D96B91">
        <w:rPr>
          <w:rFonts w:ascii="仿宋_GB2312" w:eastAsia="仿宋_GB2312" w:hAnsi="仿宋_GB2312" w:cs="仿宋_GB2312" w:hint="eastAsia"/>
          <w:sz w:val="32"/>
          <w:szCs w:val="32"/>
        </w:rPr>
        <w:t>境</w:t>
      </w:r>
      <w:r>
        <w:rPr>
          <w:rFonts w:ascii="仿宋_GB2312" w:eastAsia="仿宋_GB2312" w:hAnsi="仿宋_GB2312" w:cs="仿宋_GB2312" w:hint="eastAsia"/>
          <w:sz w:val="32"/>
          <w:szCs w:val="32"/>
        </w:rPr>
        <w:t>动植物检疫</w:t>
      </w:r>
      <w:r w:rsidR="00D96B91">
        <w:rPr>
          <w:rFonts w:ascii="仿宋_GB2312" w:eastAsia="仿宋_GB2312" w:hAnsi="仿宋_GB2312" w:cs="仿宋_GB2312" w:hint="eastAsia"/>
          <w:sz w:val="32"/>
          <w:szCs w:val="32"/>
        </w:rPr>
        <w:t>法</w:t>
      </w:r>
      <w:r>
        <w:rPr>
          <w:rFonts w:ascii="仿宋_GB2312" w:eastAsia="仿宋_GB2312" w:hAnsi="仿宋_GB2312" w:cs="仿宋_GB2312" w:hint="eastAsia"/>
          <w:sz w:val="32"/>
          <w:szCs w:val="32"/>
        </w:rPr>
        <w:t>》的规定办理。</w:t>
      </w:r>
    </w:p>
    <w:p w:rsidR="009A75CE" w:rsidRDefault="00827C1A">
      <w:pPr>
        <w:pStyle w:val="2"/>
      </w:pPr>
      <w:r>
        <w:lastRenderedPageBreak/>
        <w:t>第六章　从事实验动物工作的人员</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实验动物工作单位应当根据需要，配备科技人员和经过专业培训的饲育人员。各类人员都要遵守实验动物饲育管理的各项制度，熟悉、掌握操作规程。</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地方各级实验动物工作的主管部门，对从事实验动物工作的各类人员，应当逐步实行资格认可制度。</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实验动物工作单位对直接接触实验动物的工作人员，必须定期组织体格检查。对患有传染性疾病，不宜承担所做工作的人员，应当及时调换工作。</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从事实验动物工作的人员对实验动物必须爱护，不得戏弄或虐待。</w:t>
      </w:r>
    </w:p>
    <w:p w:rsidR="009A75CE" w:rsidRDefault="00827C1A">
      <w:pPr>
        <w:pStyle w:val="2"/>
      </w:pPr>
      <w:r>
        <w:t>第七章　奖励与处罚</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对长期从事实验动物饲育管理，取得显著成绩的单位或者个人，由管理实验动物工作的部门给予表彰或奖励。</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对违反本条例规定的单位，由管理实验动物工作的部门视情节轻重，分别给予警告、限期改进、责令关闭的行政处罚。</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对违反本条例规定的有关工作人员，由其所在</w:t>
      </w:r>
      <w:r>
        <w:rPr>
          <w:rFonts w:ascii="Times New Roman" w:eastAsia="仿宋_GB2312" w:hAnsi="Times New Roman" w:cs="Times New Roman"/>
          <w:sz w:val="32"/>
          <w:szCs w:val="32"/>
        </w:rPr>
        <w:lastRenderedPageBreak/>
        <w:t>单位视情节轻</w:t>
      </w:r>
      <w:r>
        <w:rPr>
          <w:rFonts w:ascii="Times New Roman" w:eastAsia="仿宋_GB2312" w:hAnsi="Times New Roman" w:cs="Times New Roman"/>
          <w:sz w:val="32"/>
          <w:szCs w:val="32"/>
        </w:rPr>
        <w:t>重，根据国家有关规定，给予行政处分。</w:t>
      </w:r>
    </w:p>
    <w:p w:rsidR="009A75CE" w:rsidRDefault="00827C1A">
      <w:pPr>
        <w:pStyle w:val="2"/>
      </w:pPr>
      <w:r>
        <w:t>第八章　附　　则</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省、自治区、直辖市人民政府和国务院有关部门，可以根据本条例，结合具体情况，制定实施办法。</w:t>
      </w:r>
    </w:p>
    <w:p w:rsidR="009A75CE" w:rsidRDefault="00827C1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军队系统的实验动物管理工作参照本条例执行。</w:t>
      </w:r>
    </w:p>
    <w:p w:rsidR="009A75CE" w:rsidRDefault="00827C1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本条例由国家科学技术委员会负责解释。</w:t>
      </w:r>
    </w:p>
    <w:p w:rsidR="009A75CE" w:rsidRDefault="00827C1A">
      <w:pPr>
        <w:pStyle w:val="a4"/>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本条例自发布之日起施行。</w:t>
      </w:r>
    </w:p>
    <w:sectPr w:rsidR="009A75CE" w:rsidSect="009A75CE">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7C1A" w:rsidRDefault="00827C1A" w:rsidP="009A75CE">
      <w:r>
        <w:separator/>
      </w:r>
    </w:p>
  </w:endnote>
  <w:endnote w:type="continuationSeparator" w:id="0">
    <w:p w:rsidR="00827C1A" w:rsidRDefault="00827C1A" w:rsidP="009A75C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75CE" w:rsidRDefault="009A75CE">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9A75CE" w:rsidRDefault="009A75CE">
                <w:pPr>
                  <w:pStyle w:val="a6"/>
                  <w:rPr>
                    <w:sz w:val="24"/>
                  </w:rPr>
                </w:pPr>
                <w:r>
                  <w:rPr>
                    <w:rFonts w:hint="eastAsia"/>
                    <w:sz w:val="24"/>
                  </w:rPr>
                  <w:fldChar w:fldCharType="begin"/>
                </w:r>
                <w:r w:rsidR="00827C1A">
                  <w:rPr>
                    <w:rFonts w:hint="eastAsia"/>
                    <w:sz w:val="24"/>
                  </w:rPr>
                  <w:instrText xml:space="preserve"> PAGE  \* MERGEFORMAT </w:instrText>
                </w:r>
                <w:r>
                  <w:rPr>
                    <w:rFonts w:hint="eastAsia"/>
                    <w:sz w:val="24"/>
                  </w:rPr>
                  <w:fldChar w:fldCharType="separate"/>
                </w:r>
                <w:r w:rsidR="00D96B91">
                  <w:rPr>
                    <w:noProof/>
                    <w:sz w:val="24"/>
                  </w:rPr>
                  <w:t>- 5 -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7C1A" w:rsidRDefault="00827C1A" w:rsidP="009A75CE">
      <w:r>
        <w:separator/>
      </w:r>
    </w:p>
  </w:footnote>
  <w:footnote w:type="continuationSeparator" w:id="0">
    <w:p w:rsidR="00827C1A" w:rsidRDefault="00827C1A" w:rsidP="009A75C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27C1A"/>
    <w:rsid w:val="0083648E"/>
    <w:rsid w:val="00846283"/>
    <w:rsid w:val="008665B0"/>
    <w:rsid w:val="008C4A57"/>
    <w:rsid w:val="008F43D9"/>
    <w:rsid w:val="00915322"/>
    <w:rsid w:val="00916393"/>
    <w:rsid w:val="00917678"/>
    <w:rsid w:val="0093607B"/>
    <w:rsid w:val="009567A4"/>
    <w:rsid w:val="00965278"/>
    <w:rsid w:val="00965B34"/>
    <w:rsid w:val="009A75CE"/>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96B91"/>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51529ED"/>
    <w:rsid w:val="05220095"/>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208F14A3"/>
    <w:rsid w:val="2096095A"/>
    <w:rsid w:val="20D86240"/>
    <w:rsid w:val="21CB6604"/>
    <w:rsid w:val="21CE0F2E"/>
    <w:rsid w:val="221D0BEA"/>
    <w:rsid w:val="22DD4281"/>
    <w:rsid w:val="23341BEE"/>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762392"/>
    <w:rsid w:val="3DFC6899"/>
    <w:rsid w:val="3E3675FB"/>
    <w:rsid w:val="3E851072"/>
    <w:rsid w:val="3E926100"/>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8F3DAD"/>
    <w:rsid w:val="46D80A88"/>
    <w:rsid w:val="46EE0064"/>
    <w:rsid w:val="47671FAE"/>
    <w:rsid w:val="47793996"/>
    <w:rsid w:val="47A250A3"/>
    <w:rsid w:val="48624C7F"/>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75CE"/>
    <w:pPr>
      <w:widowControl w:val="0"/>
      <w:jc w:val="both"/>
    </w:pPr>
    <w:rPr>
      <w:kern w:val="2"/>
      <w:sz w:val="21"/>
    </w:rPr>
  </w:style>
  <w:style w:type="paragraph" w:styleId="1">
    <w:name w:val="heading 1"/>
    <w:basedOn w:val="a"/>
    <w:next w:val="a"/>
    <w:link w:val="1Char"/>
    <w:uiPriority w:val="9"/>
    <w:qFormat/>
    <w:rsid w:val="009A75CE"/>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9A75CE"/>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9A75CE"/>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9A75CE"/>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9A75CE"/>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9A75CE"/>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9A75CE"/>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9A75CE"/>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9A75CE"/>
    <w:pPr>
      <w:spacing w:before="100" w:beforeAutospacing="1" w:after="120"/>
      <w:ind w:leftChars="200" w:left="200"/>
    </w:pPr>
    <w:rPr>
      <w:szCs w:val="21"/>
    </w:rPr>
  </w:style>
  <w:style w:type="paragraph" w:styleId="a4">
    <w:name w:val="Plain Text"/>
    <w:basedOn w:val="a"/>
    <w:link w:val="Char0"/>
    <w:uiPriority w:val="99"/>
    <w:unhideWhenUsed/>
    <w:qFormat/>
    <w:rsid w:val="009A75CE"/>
    <w:rPr>
      <w:rFonts w:ascii="宋体" w:hAnsi="Courier New" w:cs="Courier New"/>
      <w:szCs w:val="21"/>
    </w:rPr>
  </w:style>
  <w:style w:type="paragraph" w:styleId="a5">
    <w:name w:val="Balloon Text"/>
    <w:basedOn w:val="a"/>
    <w:link w:val="Char1"/>
    <w:uiPriority w:val="99"/>
    <w:semiHidden/>
    <w:unhideWhenUsed/>
    <w:qFormat/>
    <w:rsid w:val="009A75CE"/>
    <w:rPr>
      <w:rFonts w:asciiTheme="minorHAnsi" w:eastAsiaTheme="minorEastAsia" w:hAnsiTheme="minorHAnsi" w:cstheme="minorBidi"/>
      <w:sz w:val="18"/>
      <w:szCs w:val="18"/>
    </w:rPr>
  </w:style>
  <w:style w:type="paragraph" w:styleId="a6">
    <w:name w:val="footer"/>
    <w:basedOn w:val="a"/>
    <w:link w:val="Char10"/>
    <w:uiPriority w:val="99"/>
    <w:unhideWhenUsed/>
    <w:qFormat/>
    <w:rsid w:val="009A75CE"/>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9A75C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9A75CE"/>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9A75CE"/>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9A75CE"/>
    <w:pPr>
      <w:spacing w:before="240" w:after="60"/>
      <w:jc w:val="center"/>
      <w:outlineLvl w:val="0"/>
    </w:pPr>
    <w:rPr>
      <w:rFonts w:ascii="Cambria" w:hAnsi="Cambria"/>
      <w:b/>
      <w:sz w:val="32"/>
      <w:szCs w:val="32"/>
    </w:rPr>
  </w:style>
  <w:style w:type="table" w:styleId="ab">
    <w:name w:val="Table Grid"/>
    <w:basedOn w:val="a1"/>
    <w:uiPriority w:val="59"/>
    <w:qFormat/>
    <w:rsid w:val="009A75CE"/>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9A75CE"/>
    <w:rPr>
      <w:vertAlign w:val="superscript"/>
    </w:rPr>
  </w:style>
  <w:style w:type="character" w:customStyle="1" w:styleId="Char0">
    <w:name w:val="纯文本 Char"/>
    <w:basedOn w:val="a0"/>
    <w:link w:val="a4"/>
    <w:uiPriority w:val="99"/>
    <w:qFormat/>
    <w:rsid w:val="009A75CE"/>
    <w:rPr>
      <w:rFonts w:ascii="宋体" w:eastAsia="宋体" w:hAnsi="Courier New" w:cs="Courier New"/>
      <w:szCs w:val="21"/>
    </w:rPr>
  </w:style>
  <w:style w:type="character" w:customStyle="1" w:styleId="Char2">
    <w:name w:val="页眉 Char"/>
    <w:basedOn w:val="a0"/>
    <w:link w:val="a7"/>
    <w:uiPriority w:val="99"/>
    <w:qFormat/>
    <w:rsid w:val="009A75CE"/>
    <w:rPr>
      <w:sz w:val="18"/>
      <w:szCs w:val="18"/>
    </w:rPr>
  </w:style>
  <w:style w:type="character" w:customStyle="1" w:styleId="Char4">
    <w:name w:val="页脚 Char"/>
    <w:basedOn w:val="a0"/>
    <w:link w:val="a6"/>
    <w:uiPriority w:val="99"/>
    <w:qFormat/>
    <w:rsid w:val="009A75CE"/>
    <w:rPr>
      <w:sz w:val="18"/>
      <w:szCs w:val="18"/>
    </w:rPr>
  </w:style>
  <w:style w:type="character" w:customStyle="1" w:styleId="1Char">
    <w:name w:val="标题 1 Char"/>
    <w:basedOn w:val="a0"/>
    <w:link w:val="1"/>
    <w:uiPriority w:val="9"/>
    <w:qFormat/>
    <w:rsid w:val="009A75CE"/>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9A75CE"/>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9A75CE"/>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9A75CE"/>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9A75CE"/>
    <w:rPr>
      <w:b/>
      <w:bCs/>
      <w:sz w:val="28"/>
      <w:szCs w:val="28"/>
    </w:rPr>
  </w:style>
  <w:style w:type="character" w:customStyle="1" w:styleId="6Char">
    <w:name w:val="标题 6 Char"/>
    <w:basedOn w:val="a0"/>
    <w:link w:val="6"/>
    <w:uiPriority w:val="9"/>
    <w:semiHidden/>
    <w:qFormat/>
    <w:rsid w:val="009A75CE"/>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9A75CE"/>
    <w:rPr>
      <w:b/>
      <w:bCs/>
      <w:sz w:val="24"/>
      <w:szCs w:val="24"/>
    </w:rPr>
  </w:style>
  <w:style w:type="character" w:customStyle="1" w:styleId="8Char">
    <w:name w:val="标题 8 Char"/>
    <w:basedOn w:val="a0"/>
    <w:link w:val="8"/>
    <w:uiPriority w:val="9"/>
    <w:semiHidden/>
    <w:qFormat/>
    <w:rsid w:val="009A75CE"/>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9A75CE"/>
    <w:rPr>
      <w:kern w:val="2"/>
      <w:sz w:val="18"/>
      <w:szCs w:val="18"/>
    </w:rPr>
  </w:style>
  <w:style w:type="character" w:customStyle="1" w:styleId="15">
    <w:name w:val="15"/>
    <w:basedOn w:val="a0"/>
    <w:qFormat/>
    <w:rsid w:val="009A75CE"/>
    <w:rPr>
      <w:rFonts w:ascii="Times New Roman" w:hAnsi="Times New Roman" w:cs="Times New Roman" w:hint="default"/>
      <w:b/>
      <w:bCs/>
    </w:rPr>
  </w:style>
  <w:style w:type="character" w:customStyle="1" w:styleId="Char">
    <w:name w:val="正文文本缩进 Char"/>
    <w:basedOn w:val="a0"/>
    <w:link w:val="a3"/>
    <w:uiPriority w:val="99"/>
    <w:qFormat/>
    <w:rsid w:val="009A75CE"/>
    <w:rPr>
      <w:rFonts w:ascii="Times New Roman" w:eastAsia="宋体" w:hAnsi="Times New Roman" w:cs="Times New Roman"/>
      <w:kern w:val="2"/>
      <w:sz w:val="21"/>
      <w:szCs w:val="21"/>
    </w:rPr>
  </w:style>
  <w:style w:type="character" w:customStyle="1" w:styleId="Char3">
    <w:name w:val="标题 Char"/>
    <w:basedOn w:val="a0"/>
    <w:link w:val="aa"/>
    <w:qFormat/>
    <w:rsid w:val="009A75CE"/>
    <w:rPr>
      <w:rFonts w:ascii="Cambria" w:eastAsia="宋体" w:hAnsi="Cambria" w:cs="Cambria" w:hint="default"/>
      <w:b/>
      <w:kern w:val="2"/>
      <w:sz w:val="32"/>
      <w:szCs w:val="32"/>
    </w:rPr>
  </w:style>
  <w:style w:type="character" w:customStyle="1" w:styleId="Char10">
    <w:name w:val="页脚 Char1"/>
    <w:basedOn w:val="a0"/>
    <w:link w:val="a6"/>
    <w:qFormat/>
    <w:rsid w:val="009A75CE"/>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D30C8FA-AA92-412B-8DD6-0C45B5F19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7</Pages>
  <Words>376</Words>
  <Characters>2148</Characters>
  <Application>Microsoft Office Word</Application>
  <DocSecurity>0</DocSecurity>
  <Lines>17</Lines>
  <Paragraphs>5</Paragraphs>
  <ScaleCrop>false</ScaleCrop>
  <Company/>
  <LinksUpToDate>false</LinksUpToDate>
  <CharactersWithSpaces>2519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