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552" w:rsidRDefault="00276552">
      <w:pPr>
        <w:jc w:val="center"/>
        <w:rPr>
          <w:b/>
          <w:bCs/>
          <w:sz w:val="44"/>
          <w:szCs w:val="44"/>
        </w:rPr>
      </w:pPr>
    </w:p>
    <w:p w:rsidR="00276552" w:rsidRDefault="00E220A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全民所有制小型工业企业租赁经营暂行条例</w:t>
      </w:r>
    </w:p>
    <w:p w:rsidR="00276552" w:rsidRDefault="00276552">
      <w:pPr>
        <w:pStyle w:val="a4"/>
        <w:ind w:firstLineChars="200" w:firstLine="640"/>
        <w:jc w:val="left"/>
        <w:rPr>
          <w:rFonts w:ascii="楷体_GB2312" w:eastAsia="楷体_GB2312" w:hAnsi="楷体_GB2312" w:cs="楷体_GB2312"/>
          <w:sz w:val="32"/>
          <w:szCs w:val="32"/>
        </w:rPr>
      </w:pPr>
    </w:p>
    <w:p w:rsidR="00276552" w:rsidRDefault="00E220A4">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 xml:space="preserve">日国务院第五次常务会议通过　</w:t>
      </w: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276552" w:rsidRDefault="00E220A4">
      <w:pPr>
        <w:pStyle w:val="2"/>
      </w:pPr>
      <w:r>
        <w:rPr>
          <w:rFonts w:ascii="Times New Roman" w:hAnsi="Times New Roman" w:cs="Times New Roman"/>
        </w:rPr>
        <w:t>第一章　总　　则</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为完善企业租赁经营，增强企业活力，提高经济效益，制定本条例。</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本条例适用于全民所</w:t>
      </w:r>
      <w:r>
        <w:rPr>
          <w:rFonts w:ascii="仿宋_GB2312" w:eastAsia="仿宋_GB2312" w:hAnsi="仿宋_GB2312" w:cs="仿宋_GB2312" w:hint="eastAsia"/>
          <w:sz w:val="32"/>
          <w:szCs w:val="32"/>
        </w:rPr>
        <w:t>有制小型工业企业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企业划分标准按照国家有关规定确定。</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本条例所称租赁经营，是指在不改变企业的全民所有制性质的条件下，实行所</w:t>
      </w:r>
      <w:r>
        <w:rPr>
          <w:rFonts w:ascii="仿宋_GB2312" w:eastAsia="仿宋_GB2312" w:hAnsi="仿宋_GB2312" w:cs="仿宋_GB2312" w:hint="eastAsia"/>
          <w:sz w:val="32"/>
          <w:szCs w:val="32"/>
        </w:rPr>
        <w:t>有权与经营权的分离，国家授权单位为出租方将企业有期限地交给承租方经营，承租方向出租</w:t>
      </w:r>
      <w:r>
        <w:rPr>
          <w:rFonts w:ascii="Times New Roman" w:eastAsia="仿宋_GB2312" w:hAnsi="Times New Roman" w:cs="Times New Roman"/>
          <w:sz w:val="32"/>
          <w:szCs w:val="32"/>
        </w:rPr>
        <w:t>方交付租金并依照合同规定对企业实行自主经营的方式。</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实行租赁经营必须兼顾国家、企业、职工和承租方的利益。</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出租方和承租方必须</w:t>
      </w:r>
      <w:r>
        <w:rPr>
          <w:rFonts w:ascii="仿宋_GB2312" w:eastAsia="仿宋_GB2312" w:hAnsi="仿宋_GB2312" w:cs="仿宋_GB2312" w:hint="eastAsia"/>
          <w:sz w:val="32"/>
          <w:szCs w:val="32"/>
        </w:rPr>
        <w:t>执行国家的方针政策、法律法</w:t>
      </w:r>
      <w:r>
        <w:rPr>
          <w:rFonts w:ascii="Times New Roman" w:eastAsia="仿宋_GB2312" w:hAnsi="Times New Roman" w:cs="Times New Roman"/>
          <w:sz w:val="32"/>
          <w:szCs w:val="32"/>
        </w:rPr>
        <w:lastRenderedPageBreak/>
        <w:t>规，接受人民政府有关部门的监督。</w:t>
      </w:r>
    </w:p>
    <w:p w:rsidR="00276552" w:rsidRDefault="00E220A4">
      <w:pPr>
        <w:pStyle w:val="2"/>
      </w:pPr>
      <w:r>
        <w:t>第二章　出租方与承租方</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国家授权企业所在地方人民政府委托的部门为出租方，代表国家行使企业的出租权。</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按照本条例规定承租经营企业的为承租方。</w:t>
      </w:r>
    </w:p>
    <w:p w:rsidR="00276552" w:rsidRDefault="00E220A4">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承租方可以采取下列形式</w:t>
      </w:r>
      <w:r>
        <w:rPr>
          <w:rFonts w:ascii="仿宋_GB2312" w:eastAsia="仿宋_GB2312" w:hAnsi="仿宋_GB2312" w:cs="仿宋_GB2312" w:hint="eastAsia"/>
          <w:sz w:val="32"/>
          <w:szCs w:val="32"/>
        </w:rPr>
        <w:t>承租经营企业：</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sidR="0090257D">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个人承租经营企业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以下简称个人承租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sidR="0090257D">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至</w:t>
      </w:r>
      <w:r w:rsidR="0090257D">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人合伙承租经营企业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以下简称合伙承租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本企业全体职工承租经营企业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w:t>
      </w:r>
      <w:r w:rsidR="0090257D">
        <w:rPr>
          <w:rFonts w:ascii="仿宋_GB2312" w:eastAsia="仿宋_GB2312" w:hAnsi="仿宋_GB2312" w:cs="仿宋_GB2312" w:hint="eastAsia"/>
          <w:sz w:val="32"/>
          <w:szCs w:val="32"/>
        </w:rPr>
        <w:t>全员</w:t>
      </w:r>
      <w:r>
        <w:rPr>
          <w:rFonts w:ascii="仿宋_GB2312" w:eastAsia="仿宋_GB2312" w:hAnsi="仿宋_GB2312" w:cs="仿宋_GB2312" w:hint="eastAsia"/>
          <w:sz w:val="32"/>
          <w:szCs w:val="32"/>
        </w:rPr>
        <w:t>承租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一个企业承租经营另一个企业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以下简称企业承租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国家允许的其他租赁经营形式。</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租赁期</w:t>
      </w:r>
      <w:r>
        <w:rPr>
          <w:rFonts w:ascii="仿宋_GB2312" w:eastAsia="仿宋_GB2312" w:hAnsi="仿宋_GB2312" w:cs="仿宋_GB2312" w:hint="eastAsia"/>
          <w:sz w:val="32"/>
          <w:szCs w:val="32"/>
        </w:rPr>
        <w:t>限每届为</w:t>
      </w:r>
      <w:r w:rsidR="0090257D">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至</w:t>
      </w:r>
      <w:r w:rsidR="0090257D">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年。承租方不得将</w:t>
      </w:r>
      <w:r>
        <w:rPr>
          <w:rFonts w:ascii="Times New Roman" w:eastAsia="仿宋_GB2312" w:hAnsi="Times New Roman" w:cs="Times New Roman"/>
          <w:sz w:val="32"/>
          <w:szCs w:val="32"/>
        </w:rPr>
        <w:t>企业转租。</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承租经营者是指承租经营企业的个人，或者合伙承租、全员</w:t>
      </w:r>
      <w:bookmarkStart w:id="0" w:name="_GoBack"/>
      <w:r>
        <w:rPr>
          <w:rFonts w:ascii="Times New Roman" w:eastAsia="仿宋_GB2312" w:hAnsi="Times New Roman" w:cs="Times New Roman"/>
          <w:spacing w:val="-6"/>
          <w:sz w:val="32"/>
          <w:szCs w:val="32"/>
        </w:rPr>
        <w:t>承租确定的厂长，或者承租企业派出的厂长。承租经营者是企业租赁期间的法定代表人，行使厂长职权，对企</w:t>
      </w:r>
      <w:bookmarkEnd w:id="0"/>
      <w:r>
        <w:rPr>
          <w:rFonts w:ascii="Times New Roman" w:eastAsia="仿宋_GB2312" w:hAnsi="Times New Roman" w:cs="Times New Roman"/>
          <w:sz w:val="32"/>
          <w:szCs w:val="32"/>
        </w:rPr>
        <w:t>业全面负责。</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承租经营者必须具备国家规定的厂长条件。</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承租方必</w:t>
      </w:r>
      <w:r>
        <w:rPr>
          <w:rFonts w:ascii="仿宋_GB2312" w:eastAsia="仿宋_GB2312" w:hAnsi="仿宋_GB2312" w:cs="仿宋_GB2312" w:hint="eastAsia"/>
          <w:sz w:val="32"/>
          <w:szCs w:val="32"/>
        </w:rPr>
        <w:t>须提供下列担保：</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个人承租的，必须出具与租赁企业资产成一定比例的个</w:t>
      </w:r>
      <w:r>
        <w:rPr>
          <w:rFonts w:ascii="Times New Roman" w:eastAsia="仿宋_GB2312" w:hAnsi="Times New Roman" w:cs="Times New Roman"/>
          <w:sz w:val="32"/>
          <w:szCs w:val="32"/>
        </w:rPr>
        <w:lastRenderedPageBreak/>
        <w:t>人财</w:t>
      </w:r>
      <w:r>
        <w:rPr>
          <w:rFonts w:ascii="仿宋_GB2312" w:eastAsia="仿宋_GB2312" w:hAnsi="仿宋_GB2312" w:cs="仿宋_GB2312" w:hint="eastAsia"/>
          <w:sz w:val="32"/>
          <w:szCs w:val="32"/>
        </w:rPr>
        <w:t>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其中应当有一定比例的现金</w:t>
      </w:r>
      <w:r>
        <w:rPr>
          <w:rFonts w:ascii="仿宋_GB2312" w:eastAsia="仿宋_GB2312" w:hAnsi="仿宋_GB2312" w:cs="仿宋_GB2312" w:hint="eastAsia"/>
          <w:sz w:val="32"/>
          <w:szCs w:val="32"/>
        </w:rPr>
        <w:t>)</w:t>
      </w:r>
      <w:r w:rsidR="0090257D">
        <w:rPr>
          <w:rFonts w:ascii="仿宋_GB2312" w:eastAsia="仿宋_GB2312" w:hAnsi="仿宋_GB2312" w:cs="仿宋_GB2312" w:hint="eastAsia"/>
          <w:sz w:val="32"/>
          <w:szCs w:val="32"/>
        </w:rPr>
        <w:t>作</w:t>
      </w:r>
      <w:r>
        <w:rPr>
          <w:rFonts w:ascii="仿宋_GB2312" w:eastAsia="仿宋_GB2312" w:hAnsi="仿宋_GB2312" w:cs="仿宋_GB2312" w:hint="eastAsia"/>
          <w:sz w:val="32"/>
          <w:szCs w:val="32"/>
        </w:rPr>
        <w:t>为担保，现金必须专款存入银行，并有不少于两名有相应财产可资担保的保证人；</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合伙承租、全员承租的承租成员必须出具与租赁企业资产成一定比例的个人财产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其中应当有一定比例的现金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作为担保，现金必须专款存入银行；</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企业承租的，必须出具与租赁企业资产成一定比例的留用资金作为担保，并存入银行。存入银行后，除征得出租方同意可作为流动资金</w:t>
      </w:r>
      <w:r>
        <w:rPr>
          <w:rFonts w:ascii="仿宋_GB2312" w:eastAsia="仿宋_GB2312" w:hAnsi="仿宋_GB2312" w:cs="仿宋_GB2312" w:hint="eastAsia"/>
          <w:sz w:val="32"/>
          <w:szCs w:val="32"/>
        </w:rPr>
        <w:t>参加周转外，不得挪作他用。</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前款各项担保财产与租赁企业的资产的具体比例，由出租方所在地方人民政府根据具体情况确定。</w:t>
      </w:r>
    </w:p>
    <w:p w:rsidR="00276552" w:rsidRDefault="00E220A4">
      <w:pPr>
        <w:pStyle w:val="2"/>
      </w:pPr>
      <w:r>
        <w:t>第三章　租赁招标</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出租方在</w:t>
      </w:r>
      <w:r>
        <w:rPr>
          <w:rFonts w:ascii="仿宋_GB2312" w:eastAsia="仿宋_GB2312" w:hAnsi="仿宋_GB2312" w:cs="仿宋_GB2312" w:hint="eastAsia"/>
          <w:sz w:val="32"/>
          <w:szCs w:val="32"/>
        </w:rPr>
        <w:t>企业出租前必须会同有关部门对企业进行清产核资、清理债权债务、评估资产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包括有形资产和无形资产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，根据行业和本企业资金利润率确定标底。</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出租方选择承</w:t>
      </w:r>
      <w:r>
        <w:rPr>
          <w:rFonts w:ascii="仿宋_GB2312" w:eastAsia="仿宋_GB2312" w:hAnsi="仿宋_GB2312" w:cs="仿宋_GB2312" w:hint="eastAsia"/>
          <w:sz w:val="32"/>
          <w:szCs w:val="32"/>
        </w:rPr>
        <w:t>租方的步骤：</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公布招标通告，进行招标登记，对招标登记者进行资格审查，确定投标者；</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组织投标者进厂考察，由投标者编制投标书，提出治厂方案；</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组织投标者公开答辩，对投标者进行综合考评，征求</w:t>
      </w:r>
      <w:r>
        <w:rPr>
          <w:rFonts w:ascii="仿宋_GB2312" w:eastAsia="仿宋_GB2312" w:hAnsi="仿宋_GB2312" w:cs="仿宋_GB2312" w:hint="eastAsia"/>
          <w:sz w:val="32"/>
          <w:szCs w:val="32"/>
        </w:rPr>
        <w:t>职工代表大会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职工大会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的意见，确定中标者。</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企业、事业单位的干部或者职工按照国家有关规定参加租赁企业投标的，其所在单位应当允许，并支持中标者到租赁企业任职。</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出租方选定承租方后，出租方与承租方必须订立租赁经营合同，按照国家有关规定办理法人变更登记手续。</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租赁期满，出租方同意承租方继续承租的，必须重新订立合同并按照国家有关</w:t>
      </w:r>
      <w:r>
        <w:rPr>
          <w:rFonts w:ascii="仿宋_GB2312" w:eastAsia="仿宋_GB2312" w:hAnsi="仿宋_GB2312" w:cs="仿宋_GB2312" w:hint="eastAsia"/>
          <w:sz w:val="32"/>
          <w:szCs w:val="32"/>
        </w:rPr>
        <w:t>规定办理法人变更登记手续。</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租赁期满前</w:t>
      </w:r>
      <w:r w:rsidR="0090257D">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个月，出租方和承租方应当互相明确是否继续租赁关系。</w:t>
      </w:r>
    </w:p>
    <w:p w:rsidR="00276552" w:rsidRDefault="00E220A4">
      <w:pPr>
        <w:pStyle w:val="2"/>
      </w:pPr>
      <w:r>
        <w:t>第四章　租赁经营合同</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租赁经营合同应当采用书面形式。订立租赁经营合同的双方必须坚持自愿、平等、协商的原则。</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租赁经营合同依照本条例订立，即具有法律约束力。</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租赁经营合同应</w:t>
      </w:r>
      <w:r>
        <w:rPr>
          <w:rFonts w:ascii="仿宋_GB2312" w:eastAsia="仿宋_GB2312" w:hAnsi="仿宋_GB2312" w:cs="仿宋_GB2312" w:hint="eastAsia"/>
          <w:sz w:val="32"/>
          <w:szCs w:val="32"/>
        </w:rPr>
        <w:t>当具备下列条款：</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标的；</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租赁经营合同的生效条件和有效期限；</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租赁期内经营总目标及年度经营目标；</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租金数额、交付期限及计算办法；</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承租方的收益及企业各项基金的分配比例；</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企业租赁前债权债务及遗留亏损的处理；</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租赁双方的权利和义务；</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担保的形式和要求；</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合同的变更、解除及合同纠纷处理办法；</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违约责任；</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租赁期满后资产返还和验收；</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租赁双方约定的其他条款。</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未经协商同意，任何一方不得擅自变更、解除租赁经营合同。</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有下列情况之一，使租赁经营合同无法履行时，允许变更或者解除合</w:t>
      </w:r>
      <w:r>
        <w:rPr>
          <w:rFonts w:ascii="仿宋_GB2312" w:eastAsia="仿宋_GB2312" w:hAnsi="仿宋_GB2312" w:cs="仿宋_GB2312" w:hint="eastAsia"/>
          <w:sz w:val="32"/>
          <w:szCs w:val="32"/>
        </w:rPr>
        <w:t>同：</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由于不可抗力，或者由于一方当事人虽无过失但无法防止的外因；</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由于承租方经营管理不善达不到合同规定的年度经营目标；</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由于一方违约；</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由于合同规定的其他变更或者解除合同的条件出现。</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租赁经营合同一方要求变更或者解除合同时，</w:t>
      </w:r>
      <w:r>
        <w:rPr>
          <w:rFonts w:ascii="Times New Roman" w:eastAsia="仿宋_GB2312" w:hAnsi="Times New Roman" w:cs="Times New Roman"/>
          <w:sz w:val="32"/>
          <w:szCs w:val="32"/>
        </w:rPr>
        <w:lastRenderedPageBreak/>
        <w:t>应当及时以书面形式通知对方，</w:t>
      </w:r>
      <w:r>
        <w:rPr>
          <w:rFonts w:ascii="Times New Roman" w:eastAsia="仿宋_GB2312" w:hAnsi="Times New Roman" w:cs="Times New Roman"/>
          <w:sz w:val="32"/>
          <w:szCs w:val="32"/>
        </w:rPr>
        <w:t>双方未达成书面协议以前，原合同仍然有效。</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租赁经营合同一方接到另一方要求变更或者解除合同的书面通知后，应当自收到书</w:t>
      </w:r>
      <w:r>
        <w:rPr>
          <w:rFonts w:ascii="仿宋_GB2312" w:eastAsia="仿宋_GB2312" w:hAnsi="仿宋_GB2312" w:cs="仿宋_GB2312" w:hint="eastAsia"/>
          <w:sz w:val="32"/>
          <w:szCs w:val="32"/>
        </w:rPr>
        <w:t>面通知之日起</w:t>
      </w:r>
      <w:r w:rsidR="0090257D">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日内作出</w:t>
      </w:r>
      <w:r>
        <w:rPr>
          <w:rFonts w:ascii="Times New Roman" w:eastAsia="仿宋_GB2312" w:hAnsi="Times New Roman" w:cs="Times New Roman"/>
          <w:sz w:val="32"/>
          <w:szCs w:val="32"/>
        </w:rPr>
        <w:t>书面答复，逾期未作出答复的，即视为默认。</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租赁经营合同双方</w:t>
      </w:r>
      <w:r>
        <w:rPr>
          <w:rFonts w:ascii="仿宋_GB2312" w:eastAsia="仿宋_GB2312" w:hAnsi="仿宋_GB2312" w:cs="仿宋_GB2312" w:hint="eastAsia"/>
          <w:sz w:val="32"/>
          <w:szCs w:val="32"/>
        </w:rPr>
        <w:t>发生纠纷，应当协商解决。协商不成的，可以根据合同规定向工商行政管理机关申请调解或者仲裁。租赁经营合同任何一方对仲裁机关的仲裁决定不服的，可以在接到仲裁决定书之日起</w:t>
      </w:r>
      <w:r w:rsidR="0090257D">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日内向上一级仲裁机关申请复议。上一级仲裁机关作出的决定，即为终局裁决。逾期未申请复议，发生法律效力的仲裁决定，</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即为终局裁决。</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租赁经营合同任何一方可以根据租赁经营合同规定直接向人民法院起诉。</w:t>
      </w:r>
    </w:p>
    <w:p w:rsidR="00276552" w:rsidRDefault="00E220A4">
      <w:pPr>
        <w:pStyle w:val="2"/>
      </w:pPr>
      <w:r>
        <w:t>第五章　权利与义务</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出租方</w:t>
      </w:r>
      <w:r>
        <w:rPr>
          <w:rFonts w:ascii="仿宋_GB2312" w:eastAsia="仿宋_GB2312" w:hAnsi="仿宋_GB2312" w:cs="仿宋_GB2312" w:hint="eastAsia"/>
          <w:sz w:val="32"/>
          <w:szCs w:val="32"/>
        </w:rPr>
        <w:t>的权利：</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监督承租方遵守国家方针政策、法律法规，完成国家下达的计划；</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监督租赁企业的财产不受损害；</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收取承租方按照合同规定交付的租金。</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第二十四条</w:t>
      </w:r>
      <w:r>
        <w:rPr>
          <w:rFonts w:ascii="Times New Roman" w:eastAsia="仿宋_GB2312" w:hAnsi="Times New Roman" w:cs="Times New Roman"/>
          <w:sz w:val="32"/>
          <w:szCs w:val="32"/>
        </w:rPr>
        <w:t xml:space="preserve">　出租方</w:t>
      </w:r>
      <w:r>
        <w:rPr>
          <w:rFonts w:ascii="仿宋_GB2312" w:eastAsia="仿宋_GB2312" w:hAnsi="仿宋_GB2312" w:cs="仿宋_GB2312" w:hint="eastAsia"/>
          <w:sz w:val="32"/>
          <w:szCs w:val="32"/>
        </w:rPr>
        <w:t>的义务：</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按照合同规定保障承租方的经营自主权，依法维护企业租赁前享有的各项优惠待遇；</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为租赁企业的生产发展提供必要的服务；</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根据承租方的要求，会同有关部门协助租赁企业解决经营活动中的困难。</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承租</w:t>
      </w:r>
      <w:r>
        <w:rPr>
          <w:rFonts w:ascii="仿宋_GB2312" w:eastAsia="仿宋_GB2312" w:hAnsi="仿宋_GB2312" w:cs="仿宋_GB2312" w:hint="eastAsia"/>
          <w:sz w:val="32"/>
          <w:szCs w:val="32"/>
        </w:rPr>
        <w:t>方的权利：</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享有国家规定的厂长权利；</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任免厂级行政副职，并报有关部门备案；</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决定企业脱产人员编制；</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根据市场需求，调整企业的经营方向，并按照国家有关规定办理变更登记手续。</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承租方的义</w:t>
      </w:r>
      <w:r>
        <w:rPr>
          <w:rFonts w:ascii="仿宋_GB2312" w:eastAsia="仿宋_GB2312" w:hAnsi="仿宋_GB2312" w:cs="仿宋_GB2312" w:hint="eastAsia"/>
          <w:sz w:val="32"/>
          <w:szCs w:val="32"/>
        </w:rPr>
        <w:t>务：</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履行国家规定的厂长职责；</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执行价格政策，维护用户和消费者的利益；</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维护职工的合法权益；</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维护租赁经营企业资产，保证设备完好，办理企业财产保险；</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按期交付租金。</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承租经营者作为承租方的代表享有和履行本</w:t>
      </w:r>
      <w:r>
        <w:rPr>
          <w:rFonts w:ascii="Times New Roman" w:eastAsia="仿宋_GB2312" w:hAnsi="Times New Roman" w:cs="Times New Roman"/>
          <w:sz w:val="32"/>
          <w:szCs w:val="32"/>
        </w:rPr>
        <w:lastRenderedPageBreak/>
        <w:t>条例第二十五条、第二十六条规定的权利和义务。</w:t>
      </w:r>
    </w:p>
    <w:p w:rsidR="00276552" w:rsidRDefault="00E220A4">
      <w:pPr>
        <w:pStyle w:val="2"/>
      </w:pPr>
      <w:r>
        <w:t>第六章　收益分配及债权债务处理</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出租方可视企业技术改造任务情况，将承租方交付租金的全部或者一部交给企业，用于生产发展和技术改造，或者清偿企业租赁前的债务及遗留亏损。</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租赁经营</w:t>
      </w:r>
      <w:r>
        <w:rPr>
          <w:rFonts w:ascii="仿宋_GB2312" w:eastAsia="仿宋_GB2312" w:hAnsi="仿宋_GB2312" w:cs="仿宋_GB2312" w:hint="eastAsia"/>
          <w:sz w:val="32"/>
          <w:szCs w:val="32"/>
        </w:rPr>
        <w:t>企业实现的利润依法纳税后，分为承租方的收入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含租金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、企业生产发展基金、职工集体福利基金、职工奖励基金四部分，按照合同规定的比例进行分配。</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租赁经营企业可</w:t>
      </w:r>
      <w:r>
        <w:rPr>
          <w:rFonts w:ascii="仿宋_GB2312" w:eastAsia="仿宋_GB2312" w:hAnsi="仿宋_GB2312" w:cs="仿宋_GB2312" w:hint="eastAsia"/>
          <w:sz w:val="32"/>
          <w:szCs w:val="32"/>
        </w:rPr>
        <w:t>以在规定的工资总额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包括奖励基金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范围内，自主确定企业内部分配的制度、形式和方法，并依法纳税。</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企业租赁经营前的债权债务及遗留亏损的处理办法，按照租赁经营合同规定办理。</w:t>
      </w:r>
    </w:p>
    <w:p w:rsidR="00276552" w:rsidRDefault="00E220A4">
      <w:pPr>
        <w:pStyle w:val="2"/>
      </w:pPr>
      <w:r>
        <w:t>第七章　承租收入</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自租赁经营合同生效之日起，停发承租经营者及合伙承租成员的工资、奖金，预支生活费。承租经营者及合伙承租成员的收入可以按照本条例第三十三条的规定分年度结算或者租赁期满一次结算。</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承租经营者及合伙承租成员的原工资和租赁期间按照国家规定应当调整的工资，计入档案，作为承租期满后恢复工资的依据。</w:t>
      </w:r>
    </w:p>
    <w:p w:rsidR="00276552" w:rsidRDefault="00E220A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全员承租的承租成员的工资收入，企业承租的收入，由租赁双方协商确定。</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承租经营者的</w:t>
      </w:r>
      <w:r>
        <w:rPr>
          <w:rFonts w:ascii="仿宋_GB2312" w:eastAsia="仿宋_GB2312" w:hAnsi="仿宋_GB2312" w:cs="仿宋_GB2312" w:hint="eastAsia"/>
          <w:sz w:val="32"/>
          <w:szCs w:val="32"/>
        </w:rPr>
        <w:t>收入，原则上不超过本企业职工</w:t>
      </w:r>
      <w:r>
        <w:rPr>
          <w:rFonts w:ascii="仿宋_GB2312" w:eastAsia="仿宋_GB2312" w:hAnsi="仿宋_GB2312" w:cs="仿宋_GB2312" w:hint="eastAsia"/>
          <w:sz w:val="32"/>
          <w:szCs w:val="32"/>
        </w:rPr>
        <w:t>平均工资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含奖金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的五倍。其他承租成员的收入应当低于承租经营者的收入。</w:t>
      </w:r>
    </w:p>
    <w:p w:rsidR="00276552" w:rsidRDefault="00E220A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承租方个人所得收入按月平均超过个人收入调节税起征标准的部分，应当照章纳税。</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Times New Roman" w:hAnsi="Times New Roman" w:cs="Times New Roman"/>
          <w:sz w:val="32"/>
          <w:szCs w:val="32"/>
        </w:rPr>
        <w:t xml:space="preserve">　</w:t>
      </w:r>
      <w:r>
        <w:rPr>
          <w:rFonts w:ascii="仿宋_GB2312" w:eastAsia="仿宋_GB2312" w:hAnsi="仿宋_GB2312" w:cs="仿宋_GB2312" w:hint="eastAsia"/>
          <w:sz w:val="32"/>
          <w:szCs w:val="32"/>
        </w:rPr>
        <w:t>承租方按照租赁经营合同规定的比例取得的收入，在交付租金和实际支付给承租成员以后仍有余额的，应当作为企业的风险保证金留存。</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租赁经营合同解除时，出租方应当会同有关部门对承租方经营成果进行审查</w:t>
      </w:r>
      <w:r>
        <w:rPr>
          <w:rFonts w:ascii="仿宋_GB2312" w:eastAsia="仿宋_GB2312" w:hAnsi="仿宋_GB2312" w:cs="仿宋_GB2312" w:hint="eastAsia"/>
          <w:sz w:val="32"/>
          <w:szCs w:val="32"/>
        </w:rPr>
        <w:t>。凡达到租赁经营合同规定的经营总目标并按照租赁经营合同规定交付租金的，出租方应当根据企业的经营情况，商得职工代表大会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职工大会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的同意，从企业的风险保证</w:t>
      </w:r>
      <w:r>
        <w:rPr>
          <w:rFonts w:ascii="仿宋_GB2312" w:eastAsia="仿宋_GB2312" w:hAnsi="仿宋_GB2312" w:cs="仿宋_GB2312" w:hint="eastAsia"/>
          <w:sz w:val="32"/>
          <w:szCs w:val="32"/>
        </w:rPr>
        <w:t>金中按照承租方担保现金数额的一至五倍支付给承租方。承租方在租赁期内达不到租赁经营合同规定的经营总目</w:t>
      </w:r>
      <w:r>
        <w:rPr>
          <w:rFonts w:ascii="Times New Roman" w:eastAsia="仿宋_GB2312" w:hAnsi="Times New Roman" w:cs="Times New Roman"/>
          <w:sz w:val="32"/>
          <w:szCs w:val="32"/>
        </w:rPr>
        <w:t>标或者欠交租金时，应当以企业的风险保证金、预</w:t>
      </w:r>
      <w:r>
        <w:rPr>
          <w:rFonts w:ascii="仿宋_GB2312" w:eastAsia="仿宋_GB2312" w:hAnsi="仿宋_GB2312" w:cs="仿宋_GB2312" w:hint="eastAsia"/>
          <w:sz w:val="32"/>
          <w:szCs w:val="32"/>
        </w:rPr>
        <w:t>支的生活费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或承</w:t>
      </w:r>
      <w:r>
        <w:rPr>
          <w:rFonts w:ascii="Times New Roman" w:eastAsia="仿宋_GB2312" w:hAnsi="Times New Roman" w:cs="Times New Roman"/>
          <w:sz w:val="32"/>
          <w:szCs w:val="32"/>
        </w:rPr>
        <w:lastRenderedPageBreak/>
        <w:t>租成员的</w:t>
      </w:r>
      <w:r>
        <w:rPr>
          <w:rFonts w:ascii="仿宋_GB2312" w:eastAsia="仿宋_GB2312" w:hAnsi="仿宋_GB2312" w:cs="仿宋_GB2312" w:hint="eastAsia"/>
          <w:sz w:val="32"/>
          <w:szCs w:val="32"/>
        </w:rPr>
        <w:t>年度收入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抵补，不足部分，由承租方、保证人提供的担保财产抵补。保证人以其保证财产抵补</w:t>
      </w:r>
      <w:r>
        <w:rPr>
          <w:rFonts w:ascii="Times New Roman" w:eastAsia="仿宋_GB2312" w:hAnsi="Times New Roman" w:cs="Times New Roman"/>
          <w:sz w:val="32"/>
          <w:szCs w:val="32"/>
        </w:rPr>
        <w:t>后，有权向承租方追偿。</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个人承租的承租经营者对保证人的风险补偿，应当从个人收入中支付并订立书面协议。</w:t>
      </w:r>
    </w:p>
    <w:p w:rsidR="00276552" w:rsidRDefault="00E220A4">
      <w:pPr>
        <w:pStyle w:val="2"/>
      </w:pPr>
      <w:r>
        <w:t>第八章　附　　则</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租赁经营企业的劳动、财政管理办法，由国务院有关部门根据本条例制定。</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集体所有制工业企业实行租赁经营的，可参</w:t>
      </w:r>
      <w:r>
        <w:rPr>
          <w:rFonts w:ascii="Times New Roman" w:eastAsia="仿宋_GB2312" w:hAnsi="Times New Roman" w:cs="Times New Roman"/>
          <w:sz w:val="32"/>
          <w:szCs w:val="32"/>
        </w:rPr>
        <w:t>照本条例执行。</w:t>
      </w:r>
    </w:p>
    <w:p w:rsidR="00276552" w:rsidRDefault="00E220A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各省、自治区、直辖市人民政府可以根据本条例制定实施细则。</w:t>
      </w:r>
    </w:p>
    <w:p w:rsidR="00276552" w:rsidRDefault="00E220A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1988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p w:rsidR="00276552" w:rsidRDefault="00276552">
      <w:pPr>
        <w:pStyle w:val="a4"/>
        <w:jc w:val="left"/>
        <w:rPr>
          <w:rFonts w:ascii="楷体_GB2312" w:eastAsia="楷体_GB2312" w:hAnsi="楷体_GB2312" w:cs="楷体_GB2312"/>
          <w:sz w:val="32"/>
          <w:szCs w:val="32"/>
        </w:rPr>
      </w:pPr>
    </w:p>
    <w:sectPr w:rsidR="00276552" w:rsidSect="0027655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20A4" w:rsidRDefault="00E220A4" w:rsidP="00276552">
      <w:r>
        <w:separator/>
      </w:r>
    </w:p>
  </w:endnote>
  <w:endnote w:type="continuationSeparator" w:id="0">
    <w:p w:rsidR="00E220A4" w:rsidRDefault="00E220A4" w:rsidP="0027655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552" w:rsidRDefault="0027655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276552" w:rsidRDefault="00276552">
                <w:pPr>
                  <w:pStyle w:val="a6"/>
                  <w:rPr>
                    <w:sz w:val="24"/>
                  </w:rPr>
                </w:pPr>
                <w:r>
                  <w:rPr>
                    <w:rFonts w:hint="eastAsia"/>
                    <w:sz w:val="24"/>
                  </w:rPr>
                  <w:fldChar w:fldCharType="begin"/>
                </w:r>
                <w:r w:rsidR="00E220A4">
                  <w:rPr>
                    <w:rFonts w:hint="eastAsia"/>
                    <w:sz w:val="24"/>
                  </w:rPr>
                  <w:instrText xml:space="preserve"> PAGE  \* MERGEFORMAT </w:instrText>
                </w:r>
                <w:r>
                  <w:rPr>
                    <w:rFonts w:hint="eastAsia"/>
                    <w:sz w:val="24"/>
                  </w:rPr>
                  <w:fldChar w:fldCharType="separate"/>
                </w:r>
                <w:r w:rsidR="0090257D">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20A4" w:rsidRDefault="00E220A4" w:rsidP="00276552">
      <w:r>
        <w:separator/>
      </w:r>
    </w:p>
  </w:footnote>
  <w:footnote w:type="continuationSeparator" w:id="0">
    <w:p w:rsidR="00E220A4" w:rsidRDefault="00E220A4" w:rsidP="0027655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76552"/>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0257D"/>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220A4"/>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0F01501"/>
    <w:rsid w:val="512A1D93"/>
    <w:rsid w:val="5146198F"/>
    <w:rsid w:val="514708BF"/>
    <w:rsid w:val="519D25A2"/>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4BC3B5E"/>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6552"/>
    <w:pPr>
      <w:widowControl w:val="0"/>
      <w:jc w:val="both"/>
    </w:pPr>
    <w:rPr>
      <w:kern w:val="2"/>
      <w:sz w:val="21"/>
    </w:rPr>
  </w:style>
  <w:style w:type="paragraph" w:styleId="1">
    <w:name w:val="heading 1"/>
    <w:basedOn w:val="a"/>
    <w:next w:val="a"/>
    <w:link w:val="1Char"/>
    <w:uiPriority w:val="9"/>
    <w:qFormat/>
    <w:rsid w:val="0027655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27655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27655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27655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27655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27655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27655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27655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276552"/>
    <w:pPr>
      <w:spacing w:before="100" w:beforeAutospacing="1" w:after="120"/>
      <w:ind w:leftChars="200" w:left="200"/>
    </w:pPr>
    <w:rPr>
      <w:szCs w:val="21"/>
    </w:rPr>
  </w:style>
  <w:style w:type="paragraph" w:styleId="a4">
    <w:name w:val="Plain Text"/>
    <w:basedOn w:val="a"/>
    <w:link w:val="Char0"/>
    <w:uiPriority w:val="99"/>
    <w:unhideWhenUsed/>
    <w:qFormat/>
    <w:rsid w:val="00276552"/>
    <w:rPr>
      <w:rFonts w:ascii="宋体" w:hAnsi="Courier New" w:cs="Courier New"/>
      <w:szCs w:val="21"/>
    </w:rPr>
  </w:style>
  <w:style w:type="paragraph" w:styleId="a5">
    <w:name w:val="Balloon Text"/>
    <w:basedOn w:val="a"/>
    <w:link w:val="Char1"/>
    <w:uiPriority w:val="99"/>
    <w:semiHidden/>
    <w:unhideWhenUsed/>
    <w:qFormat/>
    <w:rsid w:val="00276552"/>
    <w:rPr>
      <w:rFonts w:asciiTheme="minorHAnsi" w:eastAsiaTheme="minorEastAsia" w:hAnsiTheme="minorHAnsi" w:cstheme="minorBidi"/>
      <w:sz w:val="18"/>
      <w:szCs w:val="18"/>
    </w:rPr>
  </w:style>
  <w:style w:type="paragraph" w:styleId="a6">
    <w:name w:val="footer"/>
    <w:basedOn w:val="a"/>
    <w:link w:val="Char10"/>
    <w:uiPriority w:val="99"/>
    <w:unhideWhenUsed/>
    <w:qFormat/>
    <w:rsid w:val="0027655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27655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27655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27655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276552"/>
    <w:pPr>
      <w:spacing w:before="240" w:after="60"/>
      <w:jc w:val="center"/>
      <w:outlineLvl w:val="0"/>
    </w:pPr>
    <w:rPr>
      <w:rFonts w:ascii="Cambria" w:hAnsi="Cambria"/>
      <w:b/>
      <w:sz w:val="32"/>
      <w:szCs w:val="32"/>
    </w:rPr>
  </w:style>
  <w:style w:type="table" w:styleId="ab">
    <w:name w:val="Table Grid"/>
    <w:basedOn w:val="a1"/>
    <w:uiPriority w:val="59"/>
    <w:qFormat/>
    <w:rsid w:val="0027655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276552"/>
    <w:rPr>
      <w:vertAlign w:val="superscript"/>
    </w:rPr>
  </w:style>
  <w:style w:type="character" w:customStyle="1" w:styleId="Char0">
    <w:name w:val="纯文本 Char"/>
    <w:basedOn w:val="a0"/>
    <w:link w:val="a4"/>
    <w:uiPriority w:val="99"/>
    <w:qFormat/>
    <w:rsid w:val="00276552"/>
    <w:rPr>
      <w:rFonts w:ascii="宋体" w:eastAsia="宋体" w:hAnsi="Courier New" w:cs="Courier New"/>
      <w:szCs w:val="21"/>
    </w:rPr>
  </w:style>
  <w:style w:type="character" w:customStyle="1" w:styleId="Char2">
    <w:name w:val="页眉 Char"/>
    <w:basedOn w:val="a0"/>
    <w:link w:val="a7"/>
    <w:uiPriority w:val="99"/>
    <w:qFormat/>
    <w:rsid w:val="00276552"/>
    <w:rPr>
      <w:sz w:val="18"/>
      <w:szCs w:val="18"/>
    </w:rPr>
  </w:style>
  <w:style w:type="character" w:customStyle="1" w:styleId="Char4">
    <w:name w:val="页脚 Char"/>
    <w:basedOn w:val="a0"/>
    <w:link w:val="a6"/>
    <w:uiPriority w:val="99"/>
    <w:qFormat/>
    <w:rsid w:val="00276552"/>
    <w:rPr>
      <w:sz w:val="18"/>
      <w:szCs w:val="18"/>
    </w:rPr>
  </w:style>
  <w:style w:type="character" w:customStyle="1" w:styleId="1Char">
    <w:name w:val="标题 1 Char"/>
    <w:basedOn w:val="a0"/>
    <w:link w:val="1"/>
    <w:uiPriority w:val="9"/>
    <w:qFormat/>
    <w:rsid w:val="0027655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27655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27655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27655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276552"/>
    <w:rPr>
      <w:b/>
      <w:bCs/>
      <w:sz w:val="28"/>
      <w:szCs w:val="28"/>
    </w:rPr>
  </w:style>
  <w:style w:type="character" w:customStyle="1" w:styleId="6Char">
    <w:name w:val="标题 6 Char"/>
    <w:basedOn w:val="a0"/>
    <w:link w:val="6"/>
    <w:uiPriority w:val="9"/>
    <w:semiHidden/>
    <w:qFormat/>
    <w:rsid w:val="0027655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276552"/>
    <w:rPr>
      <w:b/>
      <w:bCs/>
      <w:sz w:val="24"/>
      <w:szCs w:val="24"/>
    </w:rPr>
  </w:style>
  <w:style w:type="character" w:customStyle="1" w:styleId="8Char">
    <w:name w:val="标题 8 Char"/>
    <w:basedOn w:val="a0"/>
    <w:link w:val="8"/>
    <w:uiPriority w:val="9"/>
    <w:semiHidden/>
    <w:qFormat/>
    <w:rsid w:val="0027655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276552"/>
    <w:rPr>
      <w:kern w:val="2"/>
      <w:sz w:val="18"/>
      <w:szCs w:val="18"/>
    </w:rPr>
  </w:style>
  <w:style w:type="character" w:customStyle="1" w:styleId="15">
    <w:name w:val="15"/>
    <w:basedOn w:val="a0"/>
    <w:qFormat/>
    <w:rsid w:val="00276552"/>
    <w:rPr>
      <w:rFonts w:ascii="Times New Roman" w:hAnsi="Times New Roman" w:cs="Times New Roman" w:hint="default"/>
      <w:b/>
      <w:bCs/>
    </w:rPr>
  </w:style>
  <w:style w:type="character" w:customStyle="1" w:styleId="Char">
    <w:name w:val="正文文本缩进 Char"/>
    <w:basedOn w:val="a0"/>
    <w:link w:val="a3"/>
    <w:uiPriority w:val="99"/>
    <w:qFormat/>
    <w:rsid w:val="00276552"/>
    <w:rPr>
      <w:rFonts w:ascii="Times New Roman" w:eastAsia="宋体" w:hAnsi="Times New Roman" w:cs="Times New Roman"/>
      <w:kern w:val="2"/>
      <w:sz w:val="21"/>
      <w:szCs w:val="21"/>
    </w:rPr>
  </w:style>
  <w:style w:type="character" w:customStyle="1" w:styleId="Char3">
    <w:name w:val="标题 Char"/>
    <w:basedOn w:val="a0"/>
    <w:link w:val="aa"/>
    <w:qFormat/>
    <w:rsid w:val="00276552"/>
    <w:rPr>
      <w:rFonts w:ascii="Cambria" w:eastAsia="宋体" w:hAnsi="Cambria" w:cs="Cambria" w:hint="default"/>
      <w:b/>
      <w:kern w:val="2"/>
      <w:sz w:val="32"/>
      <w:szCs w:val="32"/>
    </w:rPr>
  </w:style>
  <w:style w:type="character" w:customStyle="1" w:styleId="Char10">
    <w:name w:val="页脚 Char1"/>
    <w:basedOn w:val="a0"/>
    <w:link w:val="a6"/>
    <w:qFormat/>
    <w:rsid w:val="0027655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9FC0F3-5F69-4A1D-B377-B443303B2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563</Words>
  <Characters>3212</Characters>
  <Application>Microsoft Office Word</Application>
  <DocSecurity>0</DocSecurity>
  <Lines>26</Lines>
  <Paragraphs>7</Paragraphs>
  <ScaleCrop>false</ScaleCrop>
  <Company/>
  <LinksUpToDate>false</LinksUpToDate>
  <CharactersWithSpaces>3768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