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076C" w:rsidRDefault="0034076C">
      <w:pPr>
        <w:jc w:val="center"/>
        <w:rPr>
          <w:b/>
          <w:bCs/>
          <w:sz w:val="44"/>
          <w:szCs w:val="44"/>
        </w:rPr>
      </w:pPr>
    </w:p>
    <w:p w:rsidR="0034076C" w:rsidRDefault="009D2A7A">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防止拆船污染环境管理条例</w:t>
      </w:r>
    </w:p>
    <w:p w:rsidR="0034076C" w:rsidRDefault="0034076C">
      <w:pPr>
        <w:pStyle w:val="a4"/>
        <w:ind w:firstLineChars="200" w:firstLine="640"/>
        <w:jc w:val="left"/>
        <w:rPr>
          <w:rFonts w:ascii="楷体_GB2312" w:eastAsia="楷体_GB2312" w:hAnsi="楷体_GB2312" w:cs="楷体_GB2312"/>
          <w:sz w:val="32"/>
          <w:szCs w:val="32"/>
        </w:rPr>
      </w:pPr>
    </w:p>
    <w:p w:rsidR="0034076C" w:rsidRDefault="009D2A7A">
      <w:pPr>
        <w:pStyle w:val="a4"/>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(1988年</w:t>
      </w:r>
      <w:bookmarkStart w:id="0" w:name="_GoBack"/>
      <w:bookmarkEnd w:id="0"/>
      <w:r>
        <w:rPr>
          <w:rFonts w:ascii="楷体_GB2312" w:eastAsia="楷体_GB2312" w:hAnsi="楷体_GB2312" w:cs="楷体_GB2312" w:hint="eastAsia"/>
          <w:sz w:val="32"/>
          <w:szCs w:val="32"/>
        </w:rPr>
        <w:t>5月18日国务院发布)</w:t>
      </w:r>
    </w:p>
    <w:p w:rsidR="0034076C" w:rsidRDefault="0034076C">
      <w:pPr>
        <w:pStyle w:val="a4"/>
        <w:jc w:val="center"/>
        <w:rPr>
          <w:rFonts w:ascii="楷体_GB2312" w:eastAsia="楷体_GB2312" w:hAnsi="楷体_GB2312" w:cs="楷体_GB2312"/>
          <w:sz w:val="32"/>
          <w:szCs w:val="32"/>
        </w:rPr>
      </w:pP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为防止拆船污染环境，保护生态平衡，保障人体健康，促进拆船事业的发展，制定本条例。</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本条例适用于在中华人民共和国管辖水域从事岸边和水上拆船活动的单位和个人。</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本条例所称岸边拆</w:t>
      </w:r>
      <w:r>
        <w:rPr>
          <w:rFonts w:ascii="仿宋_GB2312" w:eastAsia="仿宋_GB2312" w:hAnsi="仿宋_GB2312" w:cs="仿宋_GB2312" w:hint="eastAsia"/>
          <w:sz w:val="32"/>
          <w:szCs w:val="32"/>
        </w:rPr>
        <w:t>船，指废船停靠拆船码头拆解；废船在船坞拆解；废船冲滩(不包括海难事故中的船舶冲滩)拆解。</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本条例所称水上拆船，指对完全处于水上的废船进行拆解。</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县级以上人民政府环境保护部门负责组织协调、监督检查拆船业的环境</w:t>
      </w:r>
      <w:r>
        <w:rPr>
          <w:rFonts w:ascii="仿宋_GB2312" w:eastAsia="仿宋_GB2312" w:hAnsi="仿宋_GB2312" w:cs="仿宋_GB2312" w:hint="eastAsia"/>
          <w:sz w:val="32"/>
          <w:szCs w:val="32"/>
        </w:rPr>
        <w:t>保护工作，并主管港区水域外的岸边拆船环境保护工作。</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中华人民共和国港务监督(含港航监督，下同)主管水上拆船和综合港港区水域拆船的环境保护工作，并协助环境保护部门监督港区水域外的岸边拆船防止污染工作。</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国家渔政渔港监督管理部门主管渔港水域拆船的环境保护</w:t>
      </w:r>
      <w:r>
        <w:rPr>
          <w:rFonts w:ascii="Times New Roman" w:eastAsia="仿宋_GB2312" w:hAnsi="Times New Roman" w:cs="Times New Roman"/>
          <w:sz w:val="32"/>
          <w:szCs w:val="32"/>
        </w:rPr>
        <w:lastRenderedPageBreak/>
        <w:t>工作，负责监督拆船活动对沿岸渔业水域的影响，发现污染损害事故后，会同环境保护部门调查处理。</w:t>
      </w:r>
    </w:p>
    <w:p w:rsidR="0034076C" w:rsidRDefault="009D2A7A">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军队环境保护部门主</w:t>
      </w:r>
      <w:r>
        <w:rPr>
          <w:rFonts w:ascii="仿宋_GB2312" w:eastAsia="仿宋_GB2312" w:hAnsi="仿宋_GB2312" w:cs="仿宋_GB2312" w:hint="eastAsia"/>
          <w:sz w:val="32"/>
          <w:szCs w:val="32"/>
        </w:rPr>
        <w:t>管军港水域拆船的环境保护工作。</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国家海洋管理部门和重要江河的水资源保护机构，依据《中华人民共和国海洋环境保护法》和《中华人民共和国水污染防治法》确定的职责，协助以上各款所指主管部门监督拆船的防止污染工作。</w:t>
      </w:r>
    </w:p>
    <w:p w:rsidR="0034076C" w:rsidRDefault="009D2A7A">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县级以上人民政府的环境保护部门、中华人民共和国港务监督、国家渔政渔港监督管理部门和军队环境保护部门，在主管本条第</w:t>
      </w:r>
      <w:r>
        <w:rPr>
          <w:rFonts w:ascii="仿宋_GB2312" w:eastAsia="仿宋_GB2312" w:hAnsi="仿宋_GB2312" w:cs="仿宋_GB2312" w:hint="eastAsia"/>
          <w:sz w:val="32"/>
          <w:szCs w:val="32"/>
        </w:rPr>
        <w:t>一、第二、第三、第四款所确定水域的拆船环境保护工作时，简称“监督拆船污染的主管部门”。</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地方人民政府应当根据需要和可能，结合本地区的特点、环境状况和技术条件，统筹规划、合理设置拆船厂。</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在饮用水源地、海水淡化取水点、盐场、重要的渔业水域、海水浴场、风景名胜区以及其他需要特殊保护的区域，不得设置拆船厂。</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设置拆船厂，必须</w:t>
      </w:r>
      <w:r>
        <w:rPr>
          <w:rFonts w:ascii="仿宋_GB2312" w:eastAsia="仿宋_GB2312" w:hAnsi="仿宋_GB2312" w:cs="仿宋_GB2312" w:hint="eastAsia"/>
          <w:sz w:val="32"/>
          <w:szCs w:val="32"/>
        </w:rPr>
        <w:t>编制环境影响报告书(表)。其内容包括：拆船厂的地理位置、周围环境状况、拆船规模和条件、拆船工艺、防污措施、预期防治效果等。大中型拆船厂的环境影响报告书(表)，报所在地的省级环境保护部门批准；小型拆</w:t>
      </w:r>
      <w:r>
        <w:rPr>
          <w:rFonts w:ascii="Times New Roman" w:eastAsia="仿宋_GB2312" w:hAnsi="Times New Roman" w:cs="Times New Roman"/>
          <w:sz w:val="32"/>
          <w:szCs w:val="32"/>
        </w:rPr>
        <w:t>船厂</w:t>
      </w:r>
      <w:r>
        <w:rPr>
          <w:rFonts w:ascii="Times New Roman" w:eastAsia="仿宋_GB2312" w:hAnsi="Times New Roman" w:cs="Times New Roman"/>
          <w:sz w:val="32"/>
          <w:szCs w:val="32"/>
        </w:rPr>
        <w:lastRenderedPageBreak/>
        <w:t>的环境影响</w:t>
      </w:r>
      <w:r>
        <w:rPr>
          <w:rFonts w:ascii="仿宋_GB2312" w:eastAsia="仿宋_GB2312" w:hAnsi="仿宋_GB2312" w:cs="仿宋_GB2312" w:hint="eastAsia"/>
          <w:sz w:val="32"/>
          <w:szCs w:val="32"/>
        </w:rPr>
        <w:t>报告书(表)，经所在地的县级环境保护部门审查，报上一级环境保护部门批准。未经批准者，不得设置拆船厂；拆船公司不得对其提供废船。</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环境保护部门在批准环境影响报告书(表)前，应当征求各有关部门的意见。</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监督拆船污染的主管部门有权对拆船单位的拆船活动进行检查，被检查单位必须如实反映情况，提供必要的资料。</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监督拆船污染的主管部门有义务为被检查单位保守技术和业务秘密。</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对严重污染环境的拆船单位，限期治理。</w:t>
      </w:r>
    </w:p>
    <w:p w:rsidR="0034076C" w:rsidRDefault="009D2A7A">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对拆船单位的限期</w:t>
      </w:r>
      <w:r>
        <w:rPr>
          <w:rFonts w:ascii="仿宋_GB2312" w:eastAsia="仿宋_GB2312" w:hAnsi="仿宋_GB2312" w:cs="仿宋_GB2312" w:hint="eastAsia"/>
          <w:sz w:val="32"/>
          <w:szCs w:val="32"/>
        </w:rPr>
        <w:t>治理，由监督拆船污染的主管部门提出意见，通过批准环境影响报告书(表)的环境保护部门，报同级人民政府决定。</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拆船单位应当健全环境保护规章制度，认真组织实施。</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拆船单位必须配备或者设置防止拆船污染必需的拦油装置、废油接收设备、含油污水接收处理设施或者设备、废弃物回收处置场等，并经批准环</w:t>
      </w:r>
      <w:r>
        <w:rPr>
          <w:rFonts w:ascii="仿宋_GB2312" w:eastAsia="仿宋_GB2312" w:hAnsi="仿宋_GB2312" w:cs="仿宋_GB2312" w:hint="eastAsia"/>
          <w:sz w:val="32"/>
          <w:szCs w:val="32"/>
        </w:rPr>
        <w:t>境影响报告书(表)的环境保护部门验收合格，发给验收合格证后，方可进船拆解。</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拆船单位在废船拆解前，必须清除易燃、易爆和</w:t>
      </w:r>
      <w:r>
        <w:rPr>
          <w:rFonts w:ascii="Times New Roman" w:eastAsia="仿宋_GB2312" w:hAnsi="Times New Roman" w:cs="Times New Roman"/>
          <w:sz w:val="32"/>
          <w:szCs w:val="32"/>
        </w:rPr>
        <w:lastRenderedPageBreak/>
        <w:t>有毒物质；关闭海底</w:t>
      </w:r>
      <w:r>
        <w:rPr>
          <w:rFonts w:ascii="仿宋_GB2312" w:eastAsia="仿宋_GB2312" w:hAnsi="仿宋_GB2312" w:cs="仿宋_GB2312" w:hint="eastAsia"/>
          <w:sz w:val="32"/>
          <w:szCs w:val="32"/>
        </w:rPr>
        <w:t>阀和封闭可能引起油污水外溢的管道。垃圾、残油、废油、油泥、含油污水和易燃易爆物品等废弃物必须送到岸上集中处理，并不得采用渗坑、渗井的处理方式。</w:t>
      </w:r>
    </w:p>
    <w:p w:rsidR="0034076C" w:rsidRDefault="009D2A7A">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废油船在拆解前，必须进行洗舱、排污、清舱、测爆</w:t>
      </w:r>
      <w:r>
        <w:rPr>
          <w:rFonts w:ascii="Times New Roman" w:eastAsia="仿宋_GB2312" w:hAnsi="Times New Roman" w:cs="Times New Roman"/>
          <w:sz w:val="32"/>
          <w:szCs w:val="32"/>
        </w:rPr>
        <w:t>等工作，经港务监督检查核准后，方可拆解。</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在水上进行拆船作业的拆船单位和个人，必须事先采取有效措施，严格防止溢出、散落水中的油类和其他漂浮物扩散。</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在水上进行拆船作业，一旦出现溢出、散落水中的油类和其他漂浮物，必须及时收集处理。</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排放洗舱水、压舱水和舱底水，必须符合国家和地方规定的排放标准；排放未经处理的洗舱水、压舱水和舱底水，还必须经过监督拆船污染的主管部门批准。</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监督拆船污染的主管部门接到拆船单位申请排放未经处理的洗舱水、压舱水和舱底水的报告后，应当抓紧办理，及时审批。</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拆下的船舶部件或者废弃物，不得投弃或者存放水中；带有污染物的船舶部件或者废弃物，严禁进入水体。未清洗干净的船底和油柜必须拖到岸上拆解。</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拆船作业产生的电石渣及其废水，必须收集处理，不得流入水中。</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船舶拆解完毕，拆船单位和个人应当及时清理拆船现场。</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发生拆船污染损害事故时，拆船单位或者个人必须立即采取消除或者控制污染的措施，并迅速报告监督拆船污染的主管部门。</w:t>
      </w:r>
    </w:p>
    <w:p w:rsidR="0034076C" w:rsidRDefault="009D2A7A">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污染损害事故发生后，</w:t>
      </w:r>
      <w:r>
        <w:rPr>
          <w:rFonts w:ascii="仿宋_GB2312" w:eastAsia="仿宋_GB2312" w:hAnsi="仿宋_GB2312" w:cs="仿宋_GB2312" w:hint="eastAsia"/>
          <w:sz w:val="32"/>
          <w:szCs w:val="32"/>
        </w:rPr>
        <w:t>拆船单位必须向监督拆船污染的主管部门提交《污染事故报告书》，报告污染发生的原因、经过、排污数量、采取的抢救措施、已造成和可能造成的污染损害后果等，并接受调查处理。</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拆船单位关闭或者搬迁后，必须及时清理原厂址遗留的污染物，并由监督拆船污染的主管部门检查验收。</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违反本条例规定，有下列情形之一的，监督拆船污染的主管部门除</w:t>
      </w:r>
      <w:r>
        <w:rPr>
          <w:rFonts w:ascii="仿宋_GB2312" w:eastAsia="仿宋_GB2312" w:hAnsi="仿宋_GB2312" w:cs="仿宋_GB2312" w:hint="eastAsia"/>
          <w:sz w:val="32"/>
          <w:szCs w:val="32"/>
        </w:rPr>
        <w:t>责令其限期纠正外，还可以根据不同情节，处以</w:t>
      </w:r>
      <w:r w:rsidR="003520E3">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万元以上</w:t>
      </w:r>
      <w:r w:rsidR="003520E3">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万元以下的罚款：</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(一)未持有经批准的环境影响报告书(表)，擅自设置拆船厂并进行拆船的；</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(二)发生污染损害事故，不向监督拆船污染的主管部门报告也不采取消除或者控制污染措施的；</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(三)废油船未经洗舱、排污、清舱和测爆即行拆解的；</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(四)任意排放或者丢弃污染物造成严重污染的。</w:t>
      </w:r>
    </w:p>
    <w:p w:rsidR="0034076C" w:rsidRDefault="009D2A7A">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对未持有经批准的环境影响报告书(表)，擅自在第五条第二</w:t>
      </w:r>
      <w:r>
        <w:rPr>
          <w:rFonts w:ascii="Times New Roman" w:eastAsia="仿宋_GB2312" w:hAnsi="Times New Roman" w:cs="Times New Roman"/>
          <w:sz w:val="32"/>
          <w:szCs w:val="32"/>
        </w:rPr>
        <w:lastRenderedPageBreak/>
        <w:t>款所指的区域设置拆船厂并进行拆船的，除依据前款规定予以罚款外，按照分级管理的原则，由县级以上人民政府责令限期关闭或者搬迁。</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违反本条</w:t>
      </w:r>
      <w:r>
        <w:rPr>
          <w:rFonts w:ascii="仿宋_GB2312" w:eastAsia="仿宋_GB2312" w:hAnsi="仿宋_GB2312" w:cs="仿宋_GB2312" w:hint="eastAsia"/>
          <w:sz w:val="32"/>
          <w:szCs w:val="32"/>
        </w:rPr>
        <w:t>例规定，有下列情形之一的，监督拆船污染的主管部门除责令其限期纠正外，还可以根据不同情节，给予警告或者处以</w:t>
      </w:r>
      <w:r w:rsidR="003520E3">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万元以下的罚款：</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(一)拒绝或者阻挠监督拆船污染的主管部门进行现场检查或者在被检查时弄虚作假的；</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(二)未按规定要求配备和使用防污设施、设备和器材</w:t>
      </w:r>
      <w:r>
        <w:rPr>
          <w:rFonts w:ascii="Times New Roman" w:eastAsia="仿宋_GB2312" w:hAnsi="Times New Roman" w:cs="Times New Roman"/>
          <w:sz w:val="32"/>
          <w:szCs w:val="32"/>
        </w:rPr>
        <w:t>，造成环境</w:t>
      </w:r>
      <w:r>
        <w:rPr>
          <w:rFonts w:ascii="仿宋_GB2312" w:eastAsia="仿宋_GB2312" w:hAnsi="仿宋_GB2312" w:cs="仿宋_GB2312" w:hint="eastAsia"/>
          <w:sz w:val="32"/>
          <w:szCs w:val="32"/>
        </w:rPr>
        <w:t>污染的；</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(三)发生污染损害事故，虽采取消除或者控制污染措施，但不向监督拆船污染的主管部门报告的；</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(四)拆船单位关闭、搬迁后，原厂址的现场清理不合格的。</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罚款全部上缴国库。</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拆船单位和个人在受到罚款后，并不免除其对本条例规定义务的履行，已造成污染危害的，必须及时排除危害。</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对经限期治理逾期未完成治理任务的拆船单位，可以根据其造成的危害后果，责令停业整顿或者关闭。</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前款所指拆船单位的停业整顿或者关闭，由作出限期治理决定的人民政府决定。责令国务院有关部门直属的拆船单位停业整</w:t>
      </w:r>
      <w:r>
        <w:rPr>
          <w:rFonts w:ascii="Times New Roman" w:eastAsia="仿宋_GB2312" w:hAnsi="Times New Roman" w:cs="Times New Roman"/>
          <w:sz w:val="32"/>
          <w:szCs w:val="32"/>
        </w:rPr>
        <w:lastRenderedPageBreak/>
        <w:t>顿或者关闭，由国务院环境保护部门会同有关部门批准。</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对造成污染</w:t>
      </w:r>
      <w:r>
        <w:rPr>
          <w:rFonts w:ascii="仿宋_GB2312" w:eastAsia="仿宋_GB2312" w:hAnsi="仿宋_GB2312" w:cs="仿宋_GB2312" w:hint="eastAsia"/>
          <w:sz w:val="32"/>
          <w:szCs w:val="32"/>
        </w:rPr>
        <w:t>损害后果负有责任的或者有第十八条第(一)项所指行为的拆船单位负责人和直接责任者，可以根据不同情节，由其所在单位或者上级主管机关给予行政处分。</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当事人对行政</w:t>
      </w:r>
      <w:r>
        <w:rPr>
          <w:rFonts w:ascii="仿宋_GB2312" w:eastAsia="仿宋_GB2312" w:hAnsi="仿宋_GB2312" w:cs="仿宋_GB2312" w:hint="eastAsia"/>
          <w:sz w:val="32"/>
          <w:szCs w:val="32"/>
        </w:rPr>
        <w:t>处罚决定不服的，可以在收到处罚决定通知之日起</w:t>
      </w:r>
      <w:r w:rsidR="003520E3">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日内，向人民法院起诉；期满不起诉又不履行的，由作出处罚决定的主管部门申请人民法院强制执</w:t>
      </w:r>
      <w:r>
        <w:rPr>
          <w:rFonts w:ascii="Times New Roman" w:eastAsia="仿宋_GB2312" w:hAnsi="Times New Roman" w:cs="Times New Roman"/>
          <w:sz w:val="32"/>
          <w:szCs w:val="32"/>
        </w:rPr>
        <w:t>行。</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因拆船污染直接遭受损害的单位或者个人，有权要求造成污染损害方赔偿损失。造成污染损害方有责任对直接遭受危害的单位或者个人赔偿损失。</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赔偿责任和赔偿金额的纠纷，可以根据当事人的请求，由监督拆船污染的主管部门处理；当事人对处理决定不服的，可以向人民法院起诉。</w:t>
      </w:r>
    </w:p>
    <w:p w:rsidR="0034076C" w:rsidRDefault="009D2A7A">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当事人也可以直接向人民法院起诉。</w:t>
      </w:r>
    </w:p>
    <w:p w:rsidR="0034076C" w:rsidRDefault="009D2A7A">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凡直接遭</w:t>
      </w:r>
      <w:r>
        <w:rPr>
          <w:rFonts w:ascii="仿宋_GB2312" w:eastAsia="仿宋_GB2312" w:hAnsi="仿宋_GB2312" w:cs="仿宋_GB2312" w:hint="eastAsia"/>
          <w:sz w:val="32"/>
          <w:szCs w:val="32"/>
        </w:rPr>
        <w:t>受拆船污染损害，要求赔偿损失的单位和个人，应当提交《污染索赔报告书》。报告书应当包括以下内容：</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(一)受拆船污染损害的时间、地点、范围、对象，以及当时的气象、水文条件；</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(二)受拆船污染损害的损失清单，包括品名、数量、单价、</w:t>
      </w:r>
      <w:r>
        <w:rPr>
          <w:rFonts w:ascii="Times New Roman" w:eastAsia="仿宋_GB2312" w:hAnsi="Times New Roman" w:cs="Times New Roman"/>
          <w:sz w:val="32"/>
          <w:szCs w:val="32"/>
        </w:rPr>
        <w:lastRenderedPageBreak/>
        <w:t>计算</w:t>
      </w:r>
      <w:r>
        <w:rPr>
          <w:rFonts w:ascii="仿宋_GB2312" w:eastAsia="仿宋_GB2312" w:hAnsi="仿宋_GB2312" w:cs="仿宋_GB2312" w:hint="eastAsia"/>
          <w:sz w:val="32"/>
          <w:szCs w:val="32"/>
        </w:rPr>
        <w:t>方法等；</w:t>
      </w:r>
    </w:p>
    <w:p w:rsidR="0034076C" w:rsidRDefault="009D2A7A">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(三)有关监测部门的鉴定。</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因不可抗拒的自然灾害，并经及时采取防范和抢救措施，仍然不能避免造成污染损害的，免予承担赔偿责任。</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对检举、揭发拆船单位隐瞒不报或者谎报污染损害事故，以及积极采取措施制止或者减轻污染损害的单位和个人，给予表扬和奖励。</w:t>
      </w:r>
    </w:p>
    <w:p w:rsidR="0034076C" w:rsidRDefault="009D2A7A">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监督拆船污染的主管部门的工作人员玩忽职守、滥用职权、徇私舞弊的，由其所在单位或者上级主管机关给予行政处分；对国家和人民利益造成重大损失、构成犯罪的，依法追究刑事责任。</w:t>
      </w:r>
    </w:p>
    <w:p w:rsidR="0034076C" w:rsidRDefault="009D2A7A">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本</w:t>
      </w:r>
      <w:r>
        <w:rPr>
          <w:rFonts w:ascii="仿宋_GB2312" w:eastAsia="仿宋_GB2312" w:hAnsi="仿宋_GB2312" w:cs="仿宋_GB2312" w:hint="eastAsia"/>
          <w:sz w:val="32"/>
          <w:szCs w:val="32"/>
        </w:rPr>
        <w:t>条例自1988年6月1日起施行。</w:t>
      </w:r>
    </w:p>
    <w:sectPr w:rsidR="0034076C" w:rsidSect="0034076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1A70" w:rsidRDefault="00AB1A70" w:rsidP="0034076C">
      <w:r>
        <w:separator/>
      </w:r>
    </w:p>
  </w:endnote>
  <w:endnote w:type="continuationSeparator" w:id="0">
    <w:p w:rsidR="00AB1A70" w:rsidRDefault="00AB1A70" w:rsidP="003407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076C" w:rsidRDefault="005E66CD">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4076C" w:rsidRDefault="005E66CD">
                <w:pPr>
                  <w:pStyle w:val="a6"/>
                  <w:rPr>
                    <w:sz w:val="24"/>
                  </w:rPr>
                </w:pPr>
                <w:r>
                  <w:rPr>
                    <w:rFonts w:hint="eastAsia"/>
                    <w:sz w:val="24"/>
                  </w:rPr>
                  <w:fldChar w:fldCharType="begin"/>
                </w:r>
                <w:r w:rsidR="009D2A7A">
                  <w:rPr>
                    <w:rFonts w:hint="eastAsia"/>
                    <w:sz w:val="24"/>
                  </w:rPr>
                  <w:instrText xml:space="preserve"> PAGE  \* MERGEFORMAT </w:instrText>
                </w:r>
                <w:r>
                  <w:rPr>
                    <w:rFonts w:hint="eastAsia"/>
                    <w:sz w:val="24"/>
                  </w:rPr>
                  <w:fldChar w:fldCharType="separate"/>
                </w:r>
                <w:r w:rsidR="005828A9">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1A70" w:rsidRDefault="00AB1A70" w:rsidP="0034076C">
      <w:r>
        <w:separator/>
      </w:r>
    </w:p>
  </w:footnote>
  <w:footnote w:type="continuationSeparator" w:id="0">
    <w:p w:rsidR="00AB1A70" w:rsidRDefault="00AB1A70" w:rsidP="0034076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4076C"/>
    <w:rsid w:val="003520E3"/>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828A9"/>
    <w:rsid w:val="005B69ED"/>
    <w:rsid w:val="005D2AE0"/>
    <w:rsid w:val="005D75D2"/>
    <w:rsid w:val="005E66CD"/>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2A7A"/>
    <w:rsid w:val="009D67A7"/>
    <w:rsid w:val="00A06F17"/>
    <w:rsid w:val="00A1689C"/>
    <w:rsid w:val="00A37B48"/>
    <w:rsid w:val="00A57CA4"/>
    <w:rsid w:val="00AA747A"/>
    <w:rsid w:val="00AB1A70"/>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40D2936"/>
    <w:rsid w:val="641F5EE8"/>
    <w:rsid w:val="649C0E8F"/>
    <w:rsid w:val="64BC3B5E"/>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B64489"/>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166D41"/>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076C"/>
    <w:pPr>
      <w:widowControl w:val="0"/>
      <w:jc w:val="both"/>
    </w:pPr>
    <w:rPr>
      <w:kern w:val="2"/>
      <w:sz w:val="21"/>
    </w:rPr>
  </w:style>
  <w:style w:type="paragraph" w:styleId="1">
    <w:name w:val="heading 1"/>
    <w:basedOn w:val="a"/>
    <w:next w:val="a"/>
    <w:link w:val="1Char"/>
    <w:uiPriority w:val="9"/>
    <w:qFormat/>
    <w:rsid w:val="0034076C"/>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34076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34076C"/>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34076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34076C"/>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34076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34076C"/>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34076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34076C"/>
    <w:pPr>
      <w:spacing w:before="100" w:beforeAutospacing="1" w:after="120"/>
      <w:ind w:leftChars="200" w:left="200"/>
    </w:pPr>
    <w:rPr>
      <w:szCs w:val="21"/>
    </w:rPr>
  </w:style>
  <w:style w:type="paragraph" w:styleId="a4">
    <w:name w:val="Plain Text"/>
    <w:basedOn w:val="a"/>
    <w:link w:val="Char0"/>
    <w:uiPriority w:val="99"/>
    <w:unhideWhenUsed/>
    <w:qFormat/>
    <w:rsid w:val="0034076C"/>
    <w:rPr>
      <w:rFonts w:ascii="宋体" w:hAnsi="Courier New" w:cs="Courier New"/>
      <w:szCs w:val="21"/>
    </w:rPr>
  </w:style>
  <w:style w:type="paragraph" w:styleId="a5">
    <w:name w:val="Balloon Text"/>
    <w:basedOn w:val="a"/>
    <w:link w:val="Char1"/>
    <w:uiPriority w:val="99"/>
    <w:semiHidden/>
    <w:unhideWhenUsed/>
    <w:qFormat/>
    <w:rsid w:val="0034076C"/>
    <w:rPr>
      <w:rFonts w:asciiTheme="minorHAnsi" w:eastAsiaTheme="minorEastAsia" w:hAnsiTheme="minorHAnsi" w:cstheme="minorBidi"/>
      <w:sz w:val="18"/>
      <w:szCs w:val="18"/>
    </w:rPr>
  </w:style>
  <w:style w:type="paragraph" w:styleId="a6">
    <w:name w:val="footer"/>
    <w:basedOn w:val="a"/>
    <w:link w:val="Char10"/>
    <w:uiPriority w:val="99"/>
    <w:unhideWhenUsed/>
    <w:qFormat/>
    <w:rsid w:val="0034076C"/>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34076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34076C"/>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34076C"/>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4076C"/>
    <w:pPr>
      <w:spacing w:before="240" w:after="60"/>
      <w:jc w:val="center"/>
      <w:outlineLvl w:val="0"/>
    </w:pPr>
    <w:rPr>
      <w:rFonts w:ascii="Cambria" w:hAnsi="Cambria"/>
      <w:b/>
      <w:sz w:val="32"/>
      <w:szCs w:val="32"/>
    </w:rPr>
  </w:style>
  <w:style w:type="table" w:styleId="ab">
    <w:name w:val="Table Grid"/>
    <w:basedOn w:val="a1"/>
    <w:uiPriority w:val="59"/>
    <w:qFormat/>
    <w:rsid w:val="0034076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34076C"/>
    <w:rPr>
      <w:vertAlign w:val="superscript"/>
    </w:rPr>
  </w:style>
  <w:style w:type="character" w:customStyle="1" w:styleId="Char0">
    <w:name w:val="纯文本 Char"/>
    <w:basedOn w:val="a0"/>
    <w:link w:val="a4"/>
    <w:uiPriority w:val="99"/>
    <w:qFormat/>
    <w:rsid w:val="0034076C"/>
    <w:rPr>
      <w:rFonts w:ascii="宋体" w:eastAsia="宋体" w:hAnsi="Courier New" w:cs="Courier New"/>
      <w:szCs w:val="21"/>
    </w:rPr>
  </w:style>
  <w:style w:type="character" w:customStyle="1" w:styleId="Char2">
    <w:name w:val="页眉 Char"/>
    <w:basedOn w:val="a0"/>
    <w:link w:val="a7"/>
    <w:uiPriority w:val="99"/>
    <w:qFormat/>
    <w:rsid w:val="0034076C"/>
    <w:rPr>
      <w:sz w:val="18"/>
      <w:szCs w:val="18"/>
    </w:rPr>
  </w:style>
  <w:style w:type="character" w:customStyle="1" w:styleId="Char4">
    <w:name w:val="页脚 Char"/>
    <w:basedOn w:val="a0"/>
    <w:link w:val="a6"/>
    <w:uiPriority w:val="99"/>
    <w:qFormat/>
    <w:rsid w:val="0034076C"/>
    <w:rPr>
      <w:sz w:val="18"/>
      <w:szCs w:val="18"/>
    </w:rPr>
  </w:style>
  <w:style w:type="character" w:customStyle="1" w:styleId="1Char">
    <w:name w:val="标题 1 Char"/>
    <w:basedOn w:val="a0"/>
    <w:link w:val="1"/>
    <w:uiPriority w:val="9"/>
    <w:qFormat/>
    <w:rsid w:val="0034076C"/>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34076C"/>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34076C"/>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34076C"/>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34076C"/>
    <w:rPr>
      <w:b/>
      <w:bCs/>
      <w:sz w:val="28"/>
      <w:szCs w:val="28"/>
    </w:rPr>
  </w:style>
  <w:style w:type="character" w:customStyle="1" w:styleId="6Char">
    <w:name w:val="标题 6 Char"/>
    <w:basedOn w:val="a0"/>
    <w:link w:val="6"/>
    <w:uiPriority w:val="9"/>
    <w:semiHidden/>
    <w:qFormat/>
    <w:rsid w:val="0034076C"/>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34076C"/>
    <w:rPr>
      <w:b/>
      <w:bCs/>
      <w:sz w:val="24"/>
      <w:szCs w:val="24"/>
    </w:rPr>
  </w:style>
  <w:style w:type="character" w:customStyle="1" w:styleId="8Char">
    <w:name w:val="标题 8 Char"/>
    <w:basedOn w:val="a0"/>
    <w:link w:val="8"/>
    <w:uiPriority w:val="9"/>
    <w:semiHidden/>
    <w:qFormat/>
    <w:rsid w:val="0034076C"/>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34076C"/>
    <w:rPr>
      <w:kern w:val="2"/>
      <w:sz w:val="18"/>
      <w:szCs w:val="18"/>
    </w:rPr>
  </w:style>
  <w:style w:type="character" w:customStyle="1" w:styleId="15">
    <w:name w:val="15"/>
    <w:basedOn w:val="a0"/>
    <w:qFormat/>
    <w:rsid w:val="0034076C"/>
    <w:rPr>
      <w:rFonts w:ascii="Times New Roman" w:hAnsi="Times New Roman" w:cs="Times New Roman" w:hint="default"/>
      <w:b/>
      <w:bCs/>
    </w:rPr>
  </w:style>
  <w:style w:type="character" w:customStyle="1" w:styleId="Char">
    <w:name w:val="正文文本缩进 Char"/>
    <w:basedOn w:val="a0"/>
    <w:link w:val="a3"/>
    <w:uiPriority w:val="99"/>
    <w:qFormat/>
    <w:rsid w:val="0034076C"/>
    <w:rPr>
      <w:rFonts w:ascii="Times New Roman" w:eastAsia="宋体" w:hAnsi="Times New Roman" w:cs="Times New Roman"/>
      <w:kern w:val="2"/>
      <w:sz w:val="21"/>
      <w:szCs w:val="21"/>
    </w:rPr>
  </w:style>
  <w:style w:type="character" w:customStyle="1" w:styleId="Char3">
    <w:name w:val="标题 Char"/>
    <w:basedOn w:val="a0"/>
    <w:link w:val="aa"/>
    <w:qFormat/>
    <w:rsid w:val="0034076C"/>
    <w:rPr>
      <w:rFonts w:ascii="Cambria" w:eastAsia="宋体" w:hAnsi="Cambria" w:cs="Cambria" w:hint="default"/>
      <w:b/>
      <w:kern w:val="2"/>
      <w:sz w:val="32"/>
      <w:szCs w:val="32"/>
    </w:rPr>
  </w:style>
  <w:style w:type="character" w:customStyle="1" w:styleId="Char10">
    <w:name w:val="页脚 Char1"/>
    <w:basedOn w:val="a0"/>
    <w:link w:val="a6"/>
    <w:qFormat/>
    <w:rsid w:val="0034076C"/>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4EDC221-27F8-4F74-B95D-0ED22532B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501</Words>
  <Characters>2860</Characters>
  <Application>Microsoft Office Word</Application>
  <DocSecurity>0</DocSecurity>
  <Lines>23</Lines>
  <Paragraphs>6</Paragraphs>
  <ScaleCrop>false</ScaleCrop>
  <Company/>
  <LinksUpToDate>false</LinksUpToDate>
  <CharactersWithSpaces>3355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