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0145" w:rsidRDefault="005C0145">
      <w:pPr>
        <w:jc w:val="center"/>
        <w:rPr>
          <w:b/>
          <w:bCs/>
          <w:sz w:val="44"/>
          <w:szCs w:val="44"/>
        </w:rPr>
      </w:pPr>
    </w:p>
    <w:p w:rsidR="005C0145" w:rsidRDefault="00387321">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电力设施保护条例</w:t>
      </w:r>
    </w:p>
    <w:p w:rsidR="005C0145" w:rsidRDefault="005C0145">
      <w:pPr>
        <w:pStyle w:val="a4"/>
        <w:ind w:firstLineChars="200" w:firstLine="640"/>
        <w:jc w:val="left"/>
        <w:rPr>
          <w:rFonts w:ascii="楷体_GB2312" w:eastAsia="楷体_GB2312" w:hAnsi="楷体_GB2312" w:cs="楷体_GB2312"/>
          <w:sz w:val="32"/>
          <w:szCs w:val="32"/>
        </w:rPr>
      </w:pPr>
    </w:p>
    <w:p w:rsidR="005C0145" w:rsidRDefault="00387321">
      <w:pPr>
        <w:pStyle w:val="a4"/>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(1987年9月15日国务院发布)</w:t>
      </w:r>
    </w:p>
    <w:p w:rsidR="005C0145" w:rsidRDefault="00387321">
      <w:pPr>
        <w:pStyle w:val="2"/>
      </w:pPr>
      <w:r>
        <w:t>第一章　总　　则</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为保障电力生产和建设的顺利进行，维护公共安全，特制定本条例。</w:t>
      </w:r>
    </w:p>
    <w:p w:rsidR="005C0145" w:rsidRDefault="0038732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本条例适用于中华人民共和国境内全民所有的已建或在建的电力设</w:t>
      </w:r>
      <w:r>
        <w:rPr>
          <w:rFonts w:ascii="仿宋_GB2312" w:eastAsia="仿宋_GB2312" w:hAnsi="仿宋_GB2312" w:cs="仿宋_GB2312" w:hint="eastAsia"/>
          <w:sz w:val="32"/>
          <w:szCs w:val="32"/>
        </w:rPr>
        <w:t>施(包括发电厂、变电所和电力线路设施及其附属设施，下同)。</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电力设施的保护，实行电力主管部门、公安部门和人民群众相结合的原则。</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电力设施属于国家财产，受国家法律保护，禁止任何单位或个人从事危害电力设施的行为。任何单位和个人都有保护电力设施的义务，对危害电力设施的行为，有权制止并向电力、公安部门报告。</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国务院电力主管部门对电力设施的保护负责监督、检查、指导和协调。</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县以上地方各级电力主管部门保护电力设施的职</w:t>
      </w:r>
      <w:r>
        <w:rPr>
          <w:rFonts w:ascii="Times New Roman" w:eastAsia="仿宋_GB2312" w:hAnsi="Times New Roman" w:cs="Times New Roman"/>
          <w:sz w:val="32"/>
          <w:szCs w:val="32"/>
        </w:rPr>
        <w:lastRenderedPageBreak/>
        <w:t>责是：</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一、监督、</w:t>
      </w:r>
      <w:r>
        <w:rPr>
          <w:rFonts w:ascii="仿宋_GB2312" w:eastAsia="仿宋_GB2312" w:hAnsi="仿宋_GB2312" w:cs="仿宋_GB2312" w:hint="eastAsia"/>
          <w:sz w:val="32"/>
          <w:szCs w:val="32"/>
        </w:rPr>
        <w:t>检查本条例及根据本条例制定的规章的贯彻执行；</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二、开展保护电力设施的宣传教育工作；</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三、会同有关部门及沿电力线路各单位，建立群众护线组织并健全责任制；</w:t>
      </w:r>
    </w:p>
    <w:p w:rsidR="005C0145" w:rsidRDefault="00387321">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四、会同当地公安部门，负责所辖地区电力设施</w:t>
      </w:r>
      <w:r>
        <w:rPr>
          <w:rFonts w:ascii="Times New Roman" w:eastAsia="仿宋_GB2312" w:hAnsi="Times New Roman" w:cs="Times New Roman"/>
          <w:sz w:val="32"/>
          <w:szCs w:val="32"/>
        </w:rPr>
        <w:t>的安全保卫工作。</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各级公安部门负责依法查处破坏电力设施或哄抢、盗窃电力设施器材的案件。</w:t>
      </w:r>
    </w:p>
    <w:p w:rsidR="005C0145" w:rsidRDefault="00387321">
      <w:pPr>
        <w:pStyle w:val="2"/>
      </w:pPr>
      <w:r>
        <w:t>第二章　电力设施的保护范围和保护区</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发电厂、变电所设施的保护范围：</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一、发电厂、变电所内与发、变电生产有关的设施；</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二、发电厂、变电所外各</w:t>
      </w:r>
      <w:r>
        <w:rPr>
          <w:rFonts w:ascii="仿宋_GB2312" w:eastAsia="仿宋_GB2312" w:hAnsi="仿宋_GB2312" w:cs="仿宋_GB2312" w:hint="eastAsia"/>
          <w:sz w:val="32"/>
          <w:szCs w:val="32"/>
        </w:rPr>
        <w:t>种专用的管道(沟)、水井、泵站、冷却水塔、油库、堤坝、铁路、道路、桥梁、码头、燃料装卸设施、避雷针、消防设施及附属设施；</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三、水力发电厂使用的水库、大坝、取水口、引水隧洞(含支洞口)、引水渠道、调压井(塔)、露天高压管道、厂房、尾水渠、厂房与大坝间的通讯设施及附属设施。</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电力线路设施的保护范围：</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lastRenderedPageBreak/>
        <w:t>一、架空电力线路</w:t>
      </w:r>
      <w:r>
        <w:rPr>
          <w:rFonts w:ascii="仿宋_GB2312" w:eastAsia="仿宋_GB2312" w:hAnsi="仿宋_GB2312" w:cs="仿宋_GB2312" w:hint="eastAsia"/>
          <w:sz w:val="32"/>
          <w:szCs w:val="32"/>
        </w:rPr>
        <w:t>：杆塔、基础、拉线、接地装置、导线、避雷线、金具、绝缘子、登杆塔的爬梯和脚钉，导线跨越航道的保护设施，巡(保)线站，巡视检修专用道路、船舶和桥梁，标志牌及附属设施；</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二、电力电缆线路：架空、地下、水底电力电缆和</w:t>
      </w:r>
      <w:r>
        <w:rPr>
          <w:rFonts w:ascii="Times New Roman" w:eastAsia="仿宋_GB2312" w:hAnsi="Times New Roman" w:cs="Times New Roman"/>
          <w:sz w:val="32"/>
          <w:szCs w:val="32"/>
        </w:rPr>
        <w:t>电缆联结装置，电缆管道、电缆隧道、电缆沟、电缆桥、电缆井、盖板、入孔、标石、水</w:t>
      </w:r>
      <w:r>
        <w:rPr>
          <w:rFonts w:ascii="仿宋_GB2312" w:eastAsia="仿宋_GB2312" w:hAnsi="仿宋_GB2312" w:cs="仿宋_GB2312" w:hint="eastAsia"/>
          <w:sz w:val="32"/>
          <w:szCs w:val="32"/>
        </w:rPr>
        <w:t>线标志牌及附属设施；</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三、电力线路上的变压器、电容器、断路器、刀闸、避雷器、互感器、熔断器、计量仪表装置、配电室、箱式变电站及附属设施。</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电力线路保护区：</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一、架空电力线路保护区：导线边线向外侧延伸所形成的两平行线内的区域</w:t>
      </w:r>
      <w:r>
        <w:rPr>
          <w:rFonts w:ascii="仿宋_GB2312" w:eastAsia="仿宋_GB2312" w:hAnsi="仿宋_GB2312" w:cs="仿宋_GB2312" w:hint="eastAsia"/>
          <w:sz w:val="32"/>
          <w:szCs w:val="32"/>
        </w:rPr>
        <w:t>，在一般地区各级电压导线的边线延伸距离如下：</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1—10千伏　　　　　　　　5米</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35—110千伏　　　　　　　10米</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154—330千伏　　　　　　 15米</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500千伏　　　　　　　　  </w:t>
      </w:r>
      <w:bookmarkStart w:id="0" w:name="_GoBack"/>
      <w:bookmarkEnd w:id="0"/>
      <w:r>
        <w:rPr>
          <w:rFonts w:ascii="仿宋_GB2312" w:eastAsia="仿宋_GB2312" w:hAnsi="仿宋_GB2312" w:cs="仿宋_GB2312" w:hint="eastAsia"/>
          <w:sz w:val="32"/>
          <w:szCs w:val="32"/>
        </w:rPr>
        <w:t>20米</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在厂矿、城镇等人口密集地区，架空电力线路保护区的区域可略小于上述规定。但各级电压导线边线延伸的距离，不应小于</w:t>
      </w:r>
      <w:r>
        <w:rPr>
          <w:rFonts w:ascii="Times New Roman" w:eastAsia="仿宋_GB2312" w:hAnsi="Times New Roman" w:cs="Times New Roman"/>
          <w:sz w:val="32"/>
          <w:szCs w:val="32"/>
        </w:rPr>
        <w:lastRenderedPageBreak/>
        <w:t>导线边线在最大计算弧垂</w:t>
      </w:r>
      <w:r>
        <w:rPr>
          <w:rFonts w:ascii="仿宋_GB2312" w:eastAsia="仿宋_GB2312" w:hAnsi="仿宋_GB2312" w:cs="仿宋_GB2312" w:hint="eastAsia"/>
          <w:sz w:val="32"/>
          <w:szCs w:val="32"/>
        </w:rPr>
        <w:t>及最大计算风偏后的水平距离和风偏后距建筑物的安全距离之和。</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二、电力电缆线路保护区：地下电缆为线路两侧各</w:t>
      </w:r>
      <w:r w:rsidR="009A0329">
        <w:rPr>
          <w:rFonts w:ascii="仿宋_GB2312" w:eastAsia="仿宋_GB2312" w:hAnsi="仿宋_GB2312" w:cs="仿宋_GB2312" w:hint="eastAsia"/>
          <w:sz w:val="32"/>
          <w:szCs w:val="32"/>
        </w:rPr>
        <w:t>零点七五</w:t>
      </w:r>
      <w:r>
        <w:rPr>
          <w:rFonts w:ascii="仿宋_GB2312" w:eastAsia="仿宋_GB2312" w:hAnsi="仿宋_GB2312" w:cs="仿宋_GB2312" w:hint="eastAsia"/>
          <w:sz w:val="32"/>
          <w:szCs w:val="32"/>
        </w:rPr>
        <w:t>米所形成的两平行线内的区域；海底电缆一般为线路两侧各</w:t>
      </w:r>
      <w:r w:rsidR="009A0329">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海里(港内为两侧各</w:t>
      </w:r>
      <w:r w:rsidR="009A0329">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米)，江河电缆一般不小于线路两侧各</w:t>
      </w:r>
      <w:r w:rsidR="009A0329">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米(中、小河流一般不小于各</w:t>
      </w:r>
      <w:r w:rsidR="009A0329">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米)所形成的两平行线内的水域。</w:t>
      </w:r>
    </w:p>
    <w:p w:rsidR="005C0145" w:rsidRDefault="00387321">
      <w:pPr>
        <w:pStyle w:val="2"/>
      </w:pPr>
      <w:r>
        <w:t>第三章　电力设施的保护</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县以上地方各级电力主管部门应采取以下措施，保护电力设施：</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一、在必要的架空电力线路保护区的区界上，应设立标志牌，并标明保护区的宽度和保护规定；</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二、在架空电力线路导线跨越重要公路和航道的区段，应设立标志牌，并标明导线距穿越物体之间的安全距离；</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三、地下电缆铺设后，应设立永久性标志，并将地下电缆所在位置书面通知有关部门；</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四、水底电缆敷设后，应设立永久性标志，并将水底电缆所在位置书面通知有关部门。</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任何单位或个人在电力设施周围进行爆破作业，</w:t>
      </w:r>
      <w:r>
        <w:rPr>
          <w:rFonts w:ascii="Times New Roman" w:eastAsia="仿宋_GB2312" w:hAnsi="Times New Roman" w:cs="Times New Roman"/>
          <w:sz w:val="32"/>
          <w:szCs w:val="32"/>
        </w:rPr>
        <w:lastRenderedPageBreak/>
        <w:t>必须按照国家有关规定，确保电力设施的安全。</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任何单位或个人不得从事下列危害发电厂、变电所设施的行为：</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一、闯入厂、所内扰乱</w:t>
      </w:r>
      <w:r>
        <w:rPr>
          <w:rFonts w:ascii="仿宋_GB2312" w:eastAsia="仿宋_GB2312" w:hAnsi="仿宋_GB2312" w:cs="仿宋_GB2312" w:hint="eastAsia"/>
          <w:sz w:val="32"/>
          <w:szCs w:val="32"/>
        </w:rPr>
        <w:t>生产和工作秩序，移动、损害标志物；</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二、危及输水、排灰管道(沟)的安全运行；</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三、影响专用铁路、公路、桥梁、码头的使用；</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四、在用于水力发电的水库内，进入距水工建筑物</w:t>
      </w:r>
      <w:r w:rsidR="009A0329">
        <w:rPr>
          <w:rFonts w:ascii="仿宋_GB2312" w:eastAsia="仿宋_GB2312" w:hAnsi="仿宋_GB2312" w:cs="仿宋_GB2312" w:hint="eastAsia"/>
          <w:sz w:val="32"/>
          <w:szCs w:val="32"/>
        </w:rPr>
        <w:t>三百</w:t>
      </w:r>
      <w:r>
        <w:rPr>
          <w:rFonts w:ascii="仿宋_GB2312" w:eastAsia="仿宋_GB2312" w:hAnsi="仿宋_GB2312" w:cs="仿宋_GB2312" w:hint="eastAsia"/>
          <w:sz w:val="32"/>
          <w:szCs w:val="32"/>
        </w:rPr>
        <w:t>米区域内炸鱼、捕鱼、游泳、划船及其它危及水工建筑物安全的行为。</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任何单位或个人，不得从事下列危害电力线路设施的行为：</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一、向</w:t>
      </w:r>
      <w:r>
        <w:rPr>
          <w:rFonts w:ascii="仿宋_GB2312" w:eastAsia="仿宋_GB2312" w:hAnsi="仿宋_GB2312" w:cs="仿宋_GB2312" w:hint="eastAsia"/>
          <w:sz w:val="32"/>
          <w:szCs w:val="32"/>
        </w:rPr>
        <w:t>电力线路设施射击；</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二、向导线抛掷物体；</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三、在架空电力线路导线两侧各</w:t>
      </w:r>
      <w:r w:rsidR="009A0329">
        <w:rPr>
          <w:rFonts w:ascii="仿宋_GB2312" w:eastAsia="仿宋_GB2312" w:hAnsi="仿宋_GB2312" w:cs="仿宋_GB2312" w:hint="eastAsia"/>
          <w:sz w:val="32"/>
          <w:szCs w:val="32"/>
        </w:rPr>
        <w:t>三百</w:t>
      </w:r>
      <w:r>
        <w:rPr>
          <w:rFonts w:ascii="仿宋_GB2312" w:eastAsia="仿宋_GB2312" w:hAnsi="仿宋_GB2312" w:cs="仿宋_GB2312" w:hint="eastAsia"/>
          <w:sz w:val="32"/>
          <w:szCs w:val="32"/>
        </w:rPr>
        <w:t>米的区域内放风筝；</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四、擅自在导线上接用电器设备；</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五、擅自攀登杆塔或在杆塔上架设电力线、通信线、广播线，安装广播喇叭；</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六、利用杆塔、拉线作起重牵引地锚；</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七、在杆塔、拉线上拴牲畜、悬挂物体、攀附农作物；</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八、在杆塔、拉线基础的规定范围内取土、打桩、钻探、开挖或倾倒</w:t>
      </w:r>
      <w:r>
        <w:rPr>
          <w:rFonts w:ascii="仿宋_GB2312" w:eastAsia="仿宋_GB2312" w:hAnsi="仿宋_GB2312" w:cs="仿宋_GB2312" w:hint="eastAsia"/>
          <w:sz w:val="32"/>
          <w:szCs w:val="32"/>
        </w:rPr>
        <w:t>酸、碱、盐及其它有害化学物品；</w:t>
      </w:r>
    </w:p>
    <w:p w:rsidR="005C0145" w:rsidRDefault="00387321">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lastRenderedPageBreak/>
        <w:t>九、在杆塔内(不含杆塔与杆塔之间)或杆塔与拉线</w:t>
      </w:r>
      <w:r>
        <w:rPr>
          <w:rFonts w:ascii="Times New Roman" w:eastAsia="仿宋_GB2312" w:hAnsi="Times New Roman" w:cs="Times New Roman"/>
          <w:sz w:val="32"/>
          <w:szCs w:val="32"/>
        </w:rPr>
        <w:t>之间修筑道路；</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十、拆卸</w:t>
      </w:r>
      <w:r>
        <w:rPr>
          <w:rFonts w:ascii="仿宋_GB2312" w:eastAsia="仿宋_GB2312" w:hAnsi="仿宋_GB2312" w:cs="仿宋_GB2312" w:hint="eastAsia"/>
          <w:sz w:val="32"/>
          <w:szCs w:val="32"/>
        </w:rPr>
        <w:t>杆塔或拉线上的器材，移动、损坏永久性标志或标志牌。</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任何单位或个人在架空电力线路保护区内，必须遵守下列规定：</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一、不得堆放谷物、草料、垃圾、矿渣、易燃物、易爆物及其</w:t>
      </w:r>
      <w:r w:rsidR="009A0329">
        <w:rPr>
          <w:rFonts w:ascii="Times New Roman" w:eastAsia="仿宋_GB2312" w:hAnsi="Times New Roman" w:cs="Times New Roman" w:hint="eastAsia"/>
          <w:sz w:val="32"/>
          <w:szCs w:val="32"/>
        </w:rPr>
        <w:t>它</w:t>
      </w:r>
      <w:r>
        <w:rPr>
          <w:rFonts w:ascii="Times New Roman" w:eastAsia="仿宋_GB2312" w:hAnsi="Times New Roman" w:cs="Times New Roman"/>
          <w:sz w:val="32"/>
          <w:szCs w:val="32"/>
        </w:rPr>
        <w:t>影响安全供电的物品；</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二、不得烧窑、烧荒；</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三、不得兴建建筑物；</w:t>
      </w:r>
    </w:p>
    <w:p w:rsidR="005C0145" w:rsidRDefault="00387321">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四、不得种植竹</w:t>
      </w:r>
      <w:r>
        <w:rPr>
          <w:rFonts w:ascii="仿宋_GB2312" w:eastAsia="仿宋_GB2312" w:hAnsi="仿宋_GB2312" w:cs="仿宋_GB2312" w:hint="eastAsia"/>
          <w:sz w:val="32"/>
          <w:szCs w:val="32"/>
        </w:rPr>
        <w:t>子；</w:t>
      </w:r>
    </w:p>
    <w:p w:rsidR="005C0145" w:rsidRDefault="0038732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五、经当地电力主管部门同意，可以保留或种植自然生长最终高度与导线之间符合安全距离的树木。</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任何单位或个人在电力电缆线路保护区内，必须遵守下列规定：</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一、不得在地下电缆保护区内堆放垃圾、矿渣、易燃物、易爆物，倾倒酸、碱、盐及其它有害化学物品，兴建建筑物或种植树木、竹子；</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二、不得在海底电缆保护区内抛锚、拖锚；</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三、不得在江河电缆保护区内抛锚、拖锚、炸鱼、挖沙。</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第十七条　</w:t>
      </w:r>
      <w:r>
        <w:rPr>
          <w:rFonts w:ascii="Times New Roman" w:eastAsia="仿宋_GB2312" w:hAnsi="Times New Roman" w:cs="Times New Roman"/>
          <w:sz w:val="32"/>
          <w:szCs w:val="32"/>
        </w:rPr>
        <w:t>任何单位或个人必须经县级以上地方电力主管部门批准，并采取安全措施后，方可进行下列作业或活动：</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一、在架空电力线路保护区内进行农田水利基本建设工程及打桩、钻探、开挖等作业；</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二、起重机械的任何部位进入架空电力线路保护区进行施工；</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三、小于导线距穿越物体之间的安全距离，通过架空电力线路保护区；</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四、在电力电缆线路保护区内进行作业。</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任何单位或个人不得从事下列危害电力设施建设的行为：</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一、非法侵占电力设施建设项目依法征用的土地；</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二、涂改、移动、损害、拔除电力设施建设的测量标桩和标记；</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三、破坏、封堵施工道路，截断施工水源或电源。</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经县级以上地方物资、商业管理部门会同工商行政管理部门、公安部门批准的商业企业可以在批准的范围内查验证明、登记收购电力设施器材。</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任何单位出售电力设施器材，必须持有本单位证明；任何个人出售电力设施器材，必须持有所在单位或所在居民委员会、村</w:t>
      </w:r>
      <w:r>
        <w:rPr>
          <w:rFonts w:ascii="Times New Roman" w:eastAsia="仿宋_GB2312" w:hAnsi="Times New Roman" w:cs="Times New Roman"/>
          <w:sz w:val="32"/>
          <w:szCs w:val="32"/>
        </w:rPr>
        <w:lastRenderedPageBreak/>
        <w:t>民委员会出具的证明，到规定的商业企业出售。</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任何单位或个人不得非法出售、收购电力设施器材。</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电力主管部门专用架空通信线路、通信电缆线路设施及其附属设施的保护，按照国家有关规定执行。</w:t>
      </w:r>
    </w:p>
    <w:p w:rsidR="005C0145" w:rsidRDefault="00387321">
      <w:pPr>
        <w:pStyle w:val="2"/>
      </w:pPr>
      <w:r>
        <w:t>第四章　对电力设施与其它设施互相妨碍的处理</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电力设施的建设和保护应尽量避免或减少给国家、集体和个人造成的损失。</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新建架空电力线路不得跨越储存易燃、易爆物品仓库的区域；一般不得跨越房屋，特殊情况需要跨越房屋时，电力主管部门应采取安全措施，并按照本条例第二十三条的规定与有关主管部门达成协议。</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公用工程、城市绿化和其它设施与发电厂、变电所和电力线路设施及其附属设施，在新建、改建或扩建中相互妨碍时，双方主管部门必须按照本条例和国家有关规定协商，达成协议后方可施工。</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电力主管部门应将经批准的电力设施新建、改建或扩建的规划和计划通知城乡建设规划主管部门，并划定保护区域。</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城乡建设规划主管部门应将发电厂、变电所和电力线路设施</w:t>
      </w:r>
      <w:r>
        <w:rPr>
          <w:rFonts w:ascii="Times New Roman" w:eastAsia="仿宋_GB2312" w:hAnsi="Times New Roman" w:cs="Times New Roman"/>
          <w:sz w:val="32"/>
          <w:szCs w:val="32"/>
        </w:rPr>
        <w:lastRenderedPageBreak/>
        <w:t>及其附属设施的新建、改建或扩建纳入城乡建设规划。</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新建、改建或扩建发电厂、变电所和电力线路设施及其附属设施，按照本条例第二十三条的规定与有关主管部门达成协议后，需要损害农作物，砍伐树木、竹子或拆迁建筑物及其</w:t>
      </w:r>
      <w:r w:rsidR="009A0329">
        <w:rPr>
          <w:rFonts w:ascii="Times New Roman" w:eastAsia="仿宋_GB2312" w:hAnsi="Times New Roman" w:cs="Times New Roman" w:hint="eastAsia"/>
          <w:sz w:val="32"/>
          <w:szCs w:val="32"/>
        </w:rPr>
        <w:t>它</w:t>
      </w:r>
      <w:r>
        <w:rPr>
          <w:rFonts w:ascii="Times New Roman" w:eastAsia="仿宋_GB2312" w:hAnsi="Times New Roman" w:cs="Times New Roman"/>
          <w:sz w:val="32"/>
          <w:szCs w:val="32"/>
        </w:rPr>
        <w:t>设施，电力主管部门应按照国家有关规定给予一次性补偿。</w:t>
      </w:r>
    </w:p>
    <w:p w:rsidR="005C0145" w:rsidRDefault="00387321">
      <w:pPr>
        <w:pStyle w:val="2"/>
      </w:pPr>
      <w:r>
        <w:t>第五章　奖励与惩罚</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任何单位或个人有下列行为之一，电力主管部门应给予表彰或一次性物质奖励：</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一、对破坏电力设施或哄抢、盗窃电力设施器材的行为检举、揭发有功；</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二、对破坏电力设施或哄抢、盗窃电力设施器材的行为进行斗争，有效地防止事故发生；</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三、为保护电力设施而同自然灾害作斗争，成绩突出；</w:t>
      </w:r>
    </w:p>
    <w:p w:rsidR="005C0145" w:rsidRDefault="00387321">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四、为维护电力设施安全，做出显著成绩。</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任何单位或个人违反本条例第十三条、十四条、十五条、十六条、十七条的规定，电力主管部门有权制止并责令其限期改正；情节严重的，可处以罚款，其中违反本条例第十五条第四项、第五项规定，限期内未改正的，电力主管部门还</w:t>
      </w:r>
      <w:r>
        <w:rPr>
          <w:rFonts w:ascii="Times New Roman" w:eastAsia="仿宋_GB2312" w:hAnsi="Times New Roman" w:cs="Times New Roman"/>
          <w:sz w:val="32"/>
          <w:szCs w:val="32"/>
        </w:rPr>
        <w:lastRenderedPageBreak/>
        <w:t>可采取措施，强行伐、剪树木、竹子；凡造成损失的，电力主管部门还应责令其赔偿，并建议其上级主管部门对有关责任人员给予行政处分。</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凡违反本</w:t>
      </w:r>
      <w:r>
        <w:rPr>
          <w:rFonts w:ascii="仿宋_GB2312" w:eastAsia="仿宋_GB2312" w:hAnsi="仿宋_GB2312" w:cs="仿宋_GB2312" w:hint="eastAsia"/>
          <w:sz w:val="32"/>
          <w:szCs w:val="32"/>
        </w:rPr>
        <w:t>条例规定而构成违反治安管理行为的单位或个人，由公安部门根据《中华人民共和国治安管理处罚条例》予以处罚；构成犯罪的，由司法机关依法追究刑事责任</w:t>
      </w:r>
      <w:r>
        <w:rPr>
          <w:rFonts w:ascii="Times New Roman" w:eastAsia="仿宋_GB2312" w:hAnsi="Times New Roman" w:cs="Times New Roman"/>
          <w:sz w:val="32"/>
          <w:szCs w:val="32"/>
        </w:rPr>
        <w:t>。</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任何单位或个人违反本条例第十八条规定，非法侵占电力建设设施依法征用的土地，应按照国家有关规定处理。</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任何单位或个人违反本条例第十九条的规定，非法收购或出售电力设施器材，由工商行政管理部门按照国家有关规定没收其全部违法所得或实物，并视情节轻重，处以罚款直至吊销营业执照。</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电力主管部门的工作人员违反本条例规定，情节严重的，应给予行政处分；构成犯罪的，由司法机关依法追究刑事责任。</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当事人对地方电力主管部门给予的行政处罚不服，可以向上一级电力主管部门申诉，对上一级电力主管部门作出的行政处罚仍不服，可在接</w:t>
      </w:r>
      <w:r>
        <w:rPr>
          <w:rFonts w:ascii="仿宋_GB2312" w:eastAsia="仿宋_GB2312" w:hAnsi="仿宋_GB2312" w:cs="仿宋_GB2312" w:hint="eastAsia"/>
          <w:sz w:val="32"/>
          <w:szCs w:val="32"/>
        </w:rPr>
        <w:t>到处罚通知之日起</w:t>
      </w:r>
      <w:r w:rsidR="009A0329">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日内向人民法院起诉；期满不起诉又不执行的，由作出行政处罚的</w:t>
      </w:r>
      <w:r>
        <w:rPr>
          <w:rFonts w:ascii="Times New Roman" w:eastAsia="仿宋_GB2312" w:hAnsi="Times New Roman" w:cs="Times New Roman"/>
          <w:sz w:val="32"/>
          <w:szCs w:val="32"/>
        </w:rPr>
        <w:t>电力主</w:t>
      </w:r>
      <w:r>
        <w:rPr>
          <w:rFonts w:ascii="Times New Roman" w:eastAsia="仿宋_GB2312" w:hAnsi="Times New Roman" w:cs="Times New Roman"/>
          <w:sz w:val="32"/>
          <w:szCs w:val="32"/>
        </w:rPr>
        <w:lastRenderedPageBreak/>
        <w:t>管部门申请人民法院强制执行。</w:t>
      </w:r>
    </w:p>
    <w:p w:rsidR="005C0145" w:rsidRDefault="00387321">
      <w:pPr>
        <w:pStyle w:val="2"/>
      </w:pPr>
      <w:r>
        <w:t>第六章　附　　则</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国务院电力主管部门可以会同国务院有关部门制定本条例的实施细则。</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本条例由国务院电力主管部门负责解释。</w:t>
      </w:r>
    </w:p>
    <w:p w:rsidR="005C0145" w:rsidRDefault="00387321">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本条例自发布之日起施行。</w:t>
      </w:r>
    </w:p>
    <w:sectPr w:rsidR="005C0145" w:rsidSect="005C014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288A" w:rsidRDefault="000C288A" w:rsidP="005C0145">
      <w:r>
        <w:separator/>
      </w:r>
    </w:p>
  </w:endnote>
  <w:endnote w:type="continuationSeparator" w:id="0">
    <w:p w:rsidR="000C288A" w:rsidRDefault="000C288A" w:rsidP="005C01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145" w:rsidRDefault="00FF6CFA">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C0145" w:rsidRDefault="00FF6CFA">
                <w:pPr>
                  <w:pStyle w:val="a6"/>
                  <w:rPr>
                    <w:sz w:val="24"/>
                  </w:rPr>
                </w:pPr>
                <w:r>
                  <w:rPr>
                    <w:rFonts w:hint="eastAsia"/>
                    <w:sz w:val="24"/>
                  </w:rPr>
                  <w:fldChar w:fldCharType="begin"/>
                </w:r>
                <w:r w:rsidR="00387321">
                  <w:rPr>
                    <w:rFonts w:hint="eastAsia"/>
                    <w:sz w:val="24"/>
                  </w:rPr>
                  <w:instrText xml:space="preserve"> PAGE  \* MERGEFORMAT </w:instrText>
                </w:r>
                <w:r>
                  <w:rPr>
                    <w:rFonts w:hint="eastAsia"/>
                    <w:sz w:val="24"/>
                  </w:rPr>
                  <w:fldChar w:fldCharType="separate"/>
                </w:r>
                <w:r w:rsidR="00D96C95">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288A" w:rsidRDefault="000C288A" w:rsidP="005C0145">
      <w:r>
        <w:separator/>
      </w:r>
    </w:p>
  </w:footnote>
  <w:footnote w:type="continuationSeparator" w:id="0">
    <w:p w:rsidR="000C288A" w:rsidRDefault="000C288A" w:rsidP="005C014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288A"/>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87321"/>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C0145"/>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A0329"/>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96C95"/>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0FF6CFA"/>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E116C0"/>
    <w:rsid w:val="35095248"/>
    <w:rsid w:val="355560D1"/>
    <w:rsid w:val="35E26969"/>
    <w:rsid w:val="37EB78B4"/>
    <w:rsid w:val="386D21AD"/>
    <w:rsid w:val="387E7233"/>
    <w:rsid w:val="38851898"/>
    <w:rsid w:val="388D0D28"/>
    <w:rsid w:val="39AF4CCA"/>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602F66"/>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0145"/>
    <w:pPr>
      <w:widowControl w:val="0"/>
      <w:jc w:val="both"/>
    </w:pPr>
    <w:rPr>
      <w:kern w:val="2"/>
      <w:sz w:val="21"/>
    </w:rPr>
  </w:style>
  <w:style w:type="paragraph" w:styleId="1">
    <w:name w:val="heading 1"/>
    <w:basedOn w:val="a"/>
    <w:next w:val="a"/>
    <w:link w:val="1Char"/>
    <w:uiPriority w:val="9"/>
    <w:qFormat/>
    <w:rsid w:val="005C0145"/>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5C0145"/>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C0145"/>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5C0145"/>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C0145"/>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C0145"/>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C0145"/>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C0145"/>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5C0145"/>
    <w:pPr>
      <w:spacing w:before="100" w:beforeAutospacing="1" w:after="120"/>
      <w:ind w:leftChars="200" w:left="200"/>
    </w:pPr>
    <w:rPr>
      <w:szCs w:val="21"/>
    </w:rPr>
  </w:style>
  <w:style w:type="paragraph" w:styleId="a4">
    <w:name w:val="Plain Text"/>
    <w:basedOn w:val="a"/>
    <w:link w:val="Char0"/>
    <w:uiPriority w:val="99"/>
    <w:unhideWhenUsed/>
    <w:qFormat/>
    <w:rsid w:val="005C0145"/>
    <w:rPr>
      <w:rFonts w:ascii="宋体" w:hAnsi="Courier New" w:cs="Courier New"/>
      <w:szCs w:val="21"/>
    </w:rPr>
  </w:style>
  <w:style w:type="paragraph" w:styleId="a5">
    <w:name w:val="Balloon Text"/>
    <w:basedOn w:val="a"/>
    <w:link w:val="Char1"/>
    <w:uiPriority w:val="99"/>
    <w:semiHidden/>
    <w:unhideWhenUsed/>
    <w:qFormat/>
    <w:rsid w:val="005C0145"/>
    <w:rPr>
      <w:rFonts w:asciiTheme="minorHAnsi" w:eastAsiaTheme="minorEastAsia" w:hAnsiTheme="minorHAnsi" w:cstheme="minorBidi"/>
      <w:sz w:val="18"/>
      <w:szCs w:val="18"/>
    </w:rPr>
  </w:style>
  <w:style w:type="paragraph" w:styleId="a6">
    <w:name w:val="footer"/>
    <w:basedOn w:val="a"/>
    <w:link w:val="Char10"/>
    <w:uiPriority w:val="99"/>
    <w:unhideWhenUsed/>
    <w:qFormat/>
    <w:rsid w:val="005C0145"/>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5C014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5C0145"/>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5C0145"/>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5C0145"/>
    <w:pPr>
      <w:spacing w:before="240" w:after="60"/>
      <w:jc w:val="center"/>
      <w:outlineLvl w:val="0"/>
    </w:pPr>
    <w:rPr>
      <w:rFonts w:ascii="Cambria" w:hAnsi="Cambria"/>
      <w:b/>
      <w:sz w:val="32"/>
      <w:szCs w:val="32"/>
    </w:rPr>
  </w:style>
  <w:style w:type="table" w:styleId="ab">
    <w:name w:val="Table Grid"/>
    <w:basedOn w:val="a1"/>
    <w:uiPriority w:val="59"/>
    <w:qFormat/>
    <w:rsid w:val="005C0145"/>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5C0145"/>
    <w:rPr>
      <w:vertAlign w:val="superscript"/>
    </w:rPr>
  </w:style>
  <w:style w:type="character" w:customStyle="1" w:styleId="Char0">
    <w:name w:val="纯文本 Char"/>
    <w:basedOn w:val="a0"/>
    <w:link w:val="a4"/>
    <w:uiPriority w:val="99"/>
    <w:qFormat/>
    <w:rsid w:val="005C0145"/>
    <w:rPr>
      <w:rFonts w:ascii="宋体" w:eastAsia="宋体" w:hAnsi="Courier New" w:cs="Courier New"/>
      <w:szCs w:val="21"/>
    </w:rPr>
  </w:style>
  <w:style w:type="character" w:customStyle="1" w:styleId="Char2">
    <w:name w:val="页眉 Char"/>
    <w:basedOn w:val="a0"/>
    <w:link w:val="a7"/>
    <w:uiPriority w:val="99"/>
    <w:qFormat/>
    <w:rsid w:val="005C0145"/>
    <w:rPr>
      <w:sz w:val="18"/>
      <w:szCs w:val="18"/>
    </w:rPr>
  </w:style>
  <w:style w:type="character" w:customStyle="1" w:styleId="Char4">
    <w:name w:val="页脚 Char"/>
    <w:basedOn w:val="a0"/>
    <w:link w:val="a6"/>
    <w:uiPriority w:val="99"/>
    <w:qFormat/>
    <w:rsid w:val="005C0145"/>
    <w:rPr>
      <w:sz w:val="18"/>
      <w:szCs w:val="18"/>
    </w:rPr>
  </w:style>
  <w:style w:type="character" w:customStyle="1" w:styleId="1Char">
    <w:name w:val="标题 1 Char"/>
    <w:basedOn w:val="a0"/>
    <w:link w:val="1"/>
    <w:uiPriority w:val="9"/>
    <w:qFormat/>
    <w:rsid w:val="005C0145"/>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C0145"/>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C0145"/>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C0145"/>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C0145"/>
    <w:rPr>
      <w:b/>
      <w:bCs/>
      <w:sz w:val="28"/>
      <w:szCs w:val="28"/>
    </w:rPr>
  </w:style>
  <w:style w:type="character" w:customStyle="1" w:styleId="6Char">
    <w:name w:val="标题 6 Char"/>
    <w:basedOn w:val="a0"/>
    <w:link w:val="6"/>
    <w:uiPriority w:val="9"/>
    <w:semiHidden/>
    <w:qFormat/>
    <w:rsid w:val="005C0145"/>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C0145"/>
    <w:rPr>
      <w:b/>
      <w:bCs/>
      <w:sz w:val="24"/>
      <w:szCs w:val="24"/>
    </w:rPr>
  </w:style>
  <w:style w:type="character" w:customStyle="1" w:styleId="8Char">
    <w:name w:val="标题 8 Char"/>
    <w:basedOn w:val="a0"/>
    <w:link w:val="8"/>
    <w:uiPriority w:val="9"/>
    <w:semiHidden/>
    <w:qFormat/>
    <w:rsid w:val="005C0145"/>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5C0145"/>
    <w:rPr>
      <w:kern w:val="2"/>
      <w:sz w:val="18"/>
      <w:szCs w:val="18"/>
    </w:rPr>
  </w:style>
  <w:style w:type="character" w:customStyle="1" w:styleId="15">
    <w:name w:val="15"/>
    <w:basedOn w:val="a0"/>
    <w:qFormat/>
    <w:rsid w:val="005C0145"/>
    <w:rPr>
      <w:rFonts w:ascii="Times New Roman" w:hAnsi="Times New Roman" w:cs="Times New Roman" w:hint="default"/>
      <w:b/>
      <w:bCs/>
    </w:rPr>
  </w:style>
  <w:style w:type="character" w:customStyle="1" w:styleId="Char">
    <w:name w:val="正文文本缩进 Char"/>
    <w:basedOn w:val="a0"/>
    <w:link w:val="a3"/>
    <w:uiPriority w:val="99"/>
    <w:qFormat/>
    <w:rsid w:val="005C0145"/>
    <w:rPr>
      <w:rFonts w:ascii="Times New Roman" w:eastAsia="宋体" w:hAnsi="Times New Roman" w:cs="Times New Roman"/>
      <w:kern w:val="2"/>
      <w:sz w:val="21"/>
      <w:szCs w:val="21"/>
    </w:rPr>
  </w:style>
  <w:style w:type="character" w:customStyle="1" w:styleId="Char3">
    <w:name w:val="标题 Char"/>
    <w:basedOn w:val="a0"/>
    <w:link w:val="aa"/>
    <w:qFormat/>
    <w:rsid w:val="005C0145"/>
    <w:rPr>
      <w:rFonts w:ascii="Cambria" w:eastAsia="宋体" w:hAnsi="Cambria" w:cs="Cambria" w:hint="default"/>
      <w:b/>
      <w:kern w:val="2"/>
      <w:sz w:val="32"/>
      <w:szCs w:val="32"/>
    </w:rPr>
  </w:style>
  <w:style w:type="character" w:customStyle="1" w:styleId="Char10">
    <w:name w:val="页脚 Char1"/>
    <w:basedOn w:val="a0"/>
    <w:link w:val="a6"/>
    <w:qFormat/>
    <w:rsid w:val="005C0145"/>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6579E6-DEA4-40EC-B76E-82991C983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610</Words>
  <Characters>3480</Characters>
  <Application>Microsoft Office Word</Application>
  <DocSecurity>0</DocSecurity>
  <Lines>29</Lines>
  <Paragraphs>8</Paragraphs>
  <ScaleCrop>false</ScaleCrop>
  <Company/>
  <LinksUpToDate>false</LinksUpToDate>
  <CharactersWithSpaces>4082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2022-10-30T07:15:00Z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