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证券交易所风险基金管理暂行办法</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2000年1月31日国务院批准　2000年4月4日中国证券监督管理委员会、财政部公布　根据2011年1月8日《国务院关于废止和修改部分行政法规的决定》修订</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为保障证券交易系统的安全运转，妥善管理和使用证券交易所风险基金，根据《中华人民共和国证券法》的有关规定，制定本办法。</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本办法所称证券交易所风险基金(以下简称“本基金”)是指用于弥补证券交易所重大经济损失，防范与证券交易所业务活动有关的重大风险事故，以保证证券交易活动正常进行而设立的专项基金。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本基金来源：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(一)按证券交易所收取交易经手费的20%提取，作为风险基金单独列账；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(二)按证券交易所收取席位年费的10%提取，作为风险基金单独列账；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(三)按证券交易所收取会员费10%的比例一次性提取，作为风险基金单独列账；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(四)按本办法施行之日新股申购冻结资金利差账面余额的15%，一次性提取；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(五)对违规会员的罚款、罚息收入。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每一个财政年度终了，本基金净资产达到或超过10亿元后，下一年度不再根据本办法第三条第(一)、(二)项提取资金。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每一个财政年度终了，本基金净资产不足10亿元，下一年度应按本办法第三条第(一)、(二)项规定继续提取资金。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中国证券监督管理委员会(以下简称“证监会”)会同财政部可以根据市场风险情况，适当调整本基金规模、资金提取和交纳方式、比例。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本基金由证券交易所理事会管理。理事会应当指定机构，负责本基金的日常管理和使用。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本基金应当以专户方式全部存入国有商业银行，存款利息全部转入基金专户。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本基金资产与证券交易所资产分开列账。本基金应当下设分类账，分别记录按本办法第三条各项所形成的本基金资产、利息收入及对应的资产本息使用情况。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本基金最低支付限额2000万元。证券交易所动用本基金时，必须报经证监会商财政部后批准。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按本办法第三条第(四)项所提取的资金，应当在该条其他项资金支付完毕后才能动用。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证券交易所应当按照有关法律、法规的规定，建立和完善业务规则、内部管理制度及会员监管制度，最大限度地避免风险事故发生。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动用本基金后，证券交易所应当向有关责任方追偿，追偿款转入本基金；同时，应及时修订和完善业务规则、内部管理制度及会员监管制度。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经证监会批准，本基金作相应变更、清算时，由证监会会同财政部另行决定本基金剩余资产中应当上交财政和退还有关出资人的比例和数额。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本基金的财务核算与管理办法由财政部制定。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本办法由证监会负责解释。</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本办法自颁布之日起施行。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7830B8"/>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1033</Words>
  <Characters>1054</Characters>
  <Lines>69</Lines>
  <Paragraphs>19</Paragraphs>
  <TotalTime>0</TotalTime>
  <ScaleCrop>false</ScaleCrop>
  <LinksUpToDate>false</LinksUpToDate>
  <CharactersWithSpaces>1072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2022-05-28T14:29:22Z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