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证券交易所风险基金管理暂行办法</w:t>
      </w:r>
    </w:p>
    <w:p>
      <w:pPr>
        <w:pStyle w:val="11"/>
        <w:ind w:firstLine="616" w:firstLineChars="200"/>
        <w:rPr>
          <w:rFonts w:hint="eastAsia" w:ascii="楷体_GB2312" w:hAnsi="楷体_GB2312" w:eastAsia="楷体_GB2312" w:cs="楷体_GB2312"/>
          <w:spacing w:val="-6"/>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z w:val="32"/>
          <w:szCs w:val="32"/>
        </w:rPr>
        <w:t>2000年1月31日国务院批准　2000年4月4日中国证券监督管理委员会、财政部公布　根据2011年1月8日《国务院关于废止和修改部分行政法规的决定》修订</w:t>
      </w:r>
      <w:r>
        <w:rPr>
          <w:rFonts w:hint="eastAsia" w:ascii="楷体_GB2312" w:hAnsi="楷体_GB2312" w:eastAsia="楷体_GB2312" w:cs="楷体_GB2312"/>
          <w:spacing w:val="0"/>
          <w:sz w:val="32"/>
          <w:szCs w:val="32"/>
        </w:rPr>
        <w:t>)</w:t>
      </w:r>
    </w:p>
    <w:p>
      <w:pPr>
        <w:pStyle w:val="11"/>
        <w:ind w:firstLine="640" w:firstLineChars="200"/>
        <w:rPr>
          <w:rFonts w:hint="eastAsia" w:ascii="方正黑体_GBK" w:hAnsi="方正黑体_GBK" w:eastAsia="方正黑体_GBK" w:cs="方正黑体_GBK"/>
          <w:sz w:val="32"/>
          <w:szCs w:val="32"/>
        </w:rPr>
      </w:pP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为保障证券交易系统的安全运转，妥善管理和使用证券交易所风险基金，根据《中华人民共和国证券法》的有关规定，制定本办法。</w:t>
      </w:r>
      <w:bookmarkStart w:id="0" w:name="_GoBack"/>
      <w:bookmarkEnd w:id="0"/>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本办法所称证券交易所风险基金(以下简称“本基金”)是指用于弥补证券交易所重大经济损失，防范与证券交易所业务活动有关的重大风险事故，以保证证券交易活动正常进行而设立的专项基金。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本基金来源：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(一)按证券交易所收取交易经手费的20%提取，作为风险基金单独列账；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(二)按证券交易所收取席位年费的10%提取，作为风险基金单独列账；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(三)按证券交易所收取会员费10%的比例一次性提取，作为风险基金单独列账；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(四)按本办法施行之日新股申购冻结资金利差账面余额的15%，一次性提取；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(五)对违规会员的罚款、罚息收入。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每一个财政年度终了，本基金净资产达到或超过10亿元后，下一年度不再根据本办法第三条第(一)、(二)项提取资金。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每一个财政年度终了，本基金净资产不足10亿元，下一年度应按本办法第三条第(一)、(二)项规定继续提取资金。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中国证券监督管理委员会(以下简称“证监会”)会同财政部可以根据市场风险情况，适当调整本基金规模、资金提取和交纳方式、比例。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本基金由证券交易所理事会管理。理事会应当指定机构，负责本基金的日常管理和使用。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本基金应当以专户方式全部存入国有商业银行，存款利息全部转入基金专户。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本基金资产与证券交易所资产分开列账。本基金应当下设分类账，分别记录按本办法第三条各项所形成的本基金资产、利息收入及对应的资产本息使用情况。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本基金最低支付限额2000万元。证券交易所动用本基金时，必须报经证监会商财政部后批准。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按本办法第三条第(四)项所提取的资金，应当在该条其他项资金支付完毕后才能动用。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证券交易所应当按照有关法律、法规的规定，建立和完善业务规则、内部管理制度及会员监管制度，最大限度地避免风险事故发生。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动用本基金后，证券交易所应当向有关责任方追偿，追偿款转入本基金；同时，应及时修订和完善业务规则、内部管理制度及会员监管制度。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经证监会批准，本基金作相应变更、清算时，由证监会会同财政部另行决定本基金剩余资产中应当上交财政和退还有关出资人的比例和数额。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本基金的财务核算与管理办法由财政部制定。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本办法由证监会负责解释。</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本办法自颁布之日起施行。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7830B8"/>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F501AAA"/>
    <w:rsid w:val="1F5E6FA0"/>
    <w:rsid w:val="1F850CB0"/>
    <w:rsid w:val="1FA75BB5"/>
    <w:rsid w:val="1FE16FBA"/>
    <w:rsid w:val="1FF628F6"/>
    <w:rsid w:val="1FFE59F4"/>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5095248"/>
    <w:rsid w:val="35460A16"/>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D27937"/>
    <w:rsid w:val="44EC55D9"/>
    <w:rsid w:val="44F7192B"/>
    <w:rsid w:val="452D2D32"/>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3F73F0"/>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3372BD"/>
    <w:rsid w:val="62F60DE0"/>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587437"/>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1033</Words>
  <Characters>1054</Characters>
  <Lines>69</Lines>
  <Paragraphs>19</Paragraphs>
  <TotalTime>0</TotalTime>
  <ScaleCrop>false</ScaleCrop>
  <LinksUpToDate>false</LinksUpToDate>
  <CharactersWithSpaces>1072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2022-05-28T14:29:22Z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