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合理化建议和技术改进奖励条例</w:t>
      </w: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</w:p>
    <w:p>
      <w:pPr>
        <w:pStyle w:val="11"/>
        <w:ind w:firstLine="640" w:firstLineChars="200"/>
        <w:jc w:val="center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(1982年3月16日国务院发布　自发布之日起施行)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3"/>
      </w:pPr>
      <w:r>
        <w:rPr>
          <w:rFonts w:ascii="Times New Roman" w:hAnsi="Times New Roman" w:cs="Times New Roman"/>
        </w:rPr>
        <w:t>第一章　总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为了鼓励职工积极提合理化建议，努力进行技术革新，促进国民经济的发展，加快社会主义现代化建设，制定本条例。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凡</w:t>
      </w:r>
      <w:r>
        <w:rPr>
          <w:rFonts w:hint="eastAsia" w:ascii="仿宋_GB2312" w:hAnsi="仿宋_GB2312" w:eastAsia="仿宋_GB2312" w:cs="仿宋_GB2312"/>
          <w:sz w:val="32"/>
          <w:szCs w:val="32"/>
        </w:rPr>
        <w:t>是职工(集体或个人)提出的有关改进生产的合理化建议或技术改进，经过实验研究和实际应用，使某一单位的生产或工作取得显著效益的，均按本条例给予奖励。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合理</w:t>
      </w:r>
      <w:r>
        <w:rPr>
          <w:rFonts w:hint="eastAsia" w:ascii="仿宋_GB2312" w:hAnsi="仿宋_GB2312" w:eastAsia="仿宋_GB2312" w:cs="仿宋_GB2312"/>
          <w:sz w:val="32"/>
          <w:szCs w:val="32"/>
        </w:rPr>
        <w:t>化建议和技术改进的内容包括以下各类：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(一)工业产品、建筑结构的改进和质量的提高，生物品种的改良和发展，以及发展新产品。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(二)工艺方法，试验、检验方法，栽培技术、植物保护技术，养殖技术，安全技术，医疗、卫生、劳动保护技术及物资储藏、养护、运输技术等的改进。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(三)工具、设备、仪器、装置的改进。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(四)更有效地利用原料、材料、燃料、动力、设备及自然条件的技术措施。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(五)设计、统计、计算技术及其他技术的改进。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本条例适用于全民所有制的企、事业单位。非全民所有制单位可参照本条例执行。</w:t>
      </w:r>
    </w:p>
    <w:p>
      <w:pPr>
        <w:pStyle w:val="3"/>
      </w:pPr>
      <w:r>
        <w:t>第二章　奖　　励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合理化建</w:t>
      </w:r>
      <w:r>
        <w:rPr>
          <w:rFonts w:hint="eastAsia" w:ascii="仿宋_GB2312" w:hAnsi="仿宋_GB2312" w:eastAsia="仿宋_GB2312" w:cs="仿宋_GB2312"/>
          <w:sz w:val="32"/>
          <w:szCs w:val="32"/>
        </w:rPr>
        <w:t>议和技术改进的奖励，应当贯彻精神鼓励与物质鼓励相结合，以精神鼓励为主的原则。对合理化建议或技术改进作出贡献者，给予表扬，发给奖状和奖金。</w:t>
      </w:r>
    </w:p>
    <w:p>
      <w:pPr>
        <w:pStyle w:val="11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被采用的合理化建议或技术改进的奖励，按年经济效果大小分为四等：</w:t>
      </w:r>
    </w:p>
    <w:tbl>
      <w:tblPr>
        <w:tblStyle w:val="1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1"/>
        <w:gridCol w:w="2227"/>
        <w:gridCol w:w="3069"/>
        <w:gridCol w:w="15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61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奖励等级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年经济效果</w:t>
            </w:r>
          </w:p>
        </w:tc>
        <w:tc>
          <w:tcPr>
            <w:tcW w:w="3069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奖　　金</w:t>
            </w:r>
          </w:p>
        </w:tc>
        <w:tc>
          <w:tcPr>
            <w:tcW w:w="1533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荣誉奖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61" w:type="dxa"/>
            <w:shd w:val="clear" w:color="auto" w:fill="auto"/>
            <w:vAlign w:val="center"/>
          </w:tcPr>
          <w:p>
            <w:pPr>
              <w:pStyle w:val="11"/>
              <w:ind w:firstLine="640" w:firstLineChars="200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一百万元以上</w:t>
            </w:r>
          </w:p>
        </w:tc>
        <w:tc>
          <w:tcPr>
            <w:tcW w:w="3069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一千元至二千元</w:t>
            </w:r>
          </w:p>
        </w:tc>
        <w:tc>
          <w:tcPr>
            <w:tcW w:w="1533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奖状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61" w:type="dxa"/>
            <w:shd w:val="clear" w:color="auto" w:fill="auto"/>
            <w:vAlign w:val="center"/>
          </w:tcPr>
          <w:p>
            <w:pPr>
              <w:pStyle w:val="11"/>
              <w:ind w:firstLine="640" w:firstLineChars="200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十万元以上</w:t>
            </w:r>
          </w:p>
        </w:tc>
        <w:tc>
          <w:tcPr>
            <w:tcW w:w="3069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五百元至一千元</w:t>
            </w:r>
          </w:p>
        </w:tc>
        <w:tc>
          <w:tcPr>
            <w:tcW w:w="1533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奖状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61" w:type="dxa"/>
            <w:shd w:val="clear" w:color="auto" w:fill="auto"/>
            <w:vAlign w:val="center"/>
          </w:tcPr>
          <w:p>
            <w:pPr>
              <w:pStyle w:val="11"/>
              <w:ind w:firstLine="640" w:firstLineChars="200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三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一万元以上</w:t>
            </w:r>
          </w:p>
        </w:tc>
        <w:tc>
          <w:tcPr>
            <w:tcW w:w="3069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二百元至五百元</w:t>
            </w:r>
          </w:p>
        </w:tc>
        <w:tc>
          <w:tcPr>
            <w:tcW w:w="1533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奖状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61" w:type="dxa"/>
            <w:shd w:val="clear" w:color="auto" w:fill="auto"/>
            <w:vAlign w:val="center"/>
          </w:tcPr>
          <w:p>
            <w:pPr>
              <w:pStyle w:val="11"/>
              <w:ind w:firstLine="640" w:firstLineChars="200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四</w:t>
            </w:r>
          </w:p>
        </w:tc>
        <w:tc>
          <w:tcPr>
            <w:tcW w:w="2227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不满一万元</w:t>
            </w:r>
          </w:p>
        </w:tc>
        <w:tc>
          <w:tcPr>
            <w:tcW w:w="3069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二百元以下</w:t>
            </w:r>
          </w:p>
        </w:tc>
        <w:tc>
          <w:tcPr>
            <w:tcW w:w="1533" w:type="dxa"/>
            <w:shd w:val="clear" w:color="auto" w:fill="auto"/>
            <w:vAlign w:val="center"/>
          </w:tcPr>
          <w:p>
            <w:pPr>
              <w:pStyle w:val="11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表扬</w:t>
            </w:r>
          </w:p>
        </w:tc>
      </w:tr>
    </w:tbl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被采用的合理化建议或技术改进的年经济效果，从采用时起，按一年的经济效果计算。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对改善劳动条件、保证安全生产、消除公害污染等不能直接以经济效果计算的合理化建议或技术改进，按其作用意义大小评定奖励等级。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集体完成项目的奖金，按贡献大小合理分配。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奖励的审批权限：合理化建议和技术改进的奖励，由采用单位审查批准，报上级主管部门备案。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奖金由采用单位支付。生产单位支付的奖金计入生产成本费，非生产单位支付的奖金在事业费中列报。</w:t>
      </w:r>
    </w:p>
    <w:p>
      <w:pPr>
        <w:pStyle w:val="3"/>
      </w:pPr>
      <w:r>
        <w:t>第三章　审查和处理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企、事业单位应有相应的机构或人员负责合理化建议和技术改进的审查、实施、奖励等工作。建议人和审查单位之间发生争议时，可提请上级主管部门处理。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重大的和本单位无法处理的合理化建议或技术改进，应报请上级主管部门处理。采用后由采用单位给予奖励。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合理化建议和技术改进必须经过试验或鉴定，成功之后才能采用。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对弄虚作假骗取荣誉的，要进行批评教育，并扣回已发的奖金，情节严重的，还要给以纪律处分。</w:t>
      </w:r>
    </w:p>
    <w:p>
      <w:pPr>
        <w:pStyle w:val="3"/>
      </w:pPr>
      <w:r>
        <w:t>第四章　附　　则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　</w:t>
      </w:r>
      <w:r>
        <w:rPr>
          <w:rFonts w:ascii="Times New Roman" w:hAnsi="Times New Roman" w:eastAsia="仿宋_GB2312" w:cs="Times New Roman"/>
          <w:sz w:val="32"/>
          <w:szCs w:val="32"/>
        </w:rPr>
        <w:t>本条例由国家经济委员会负责解释。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　</w:t>
      </w:r>
      <w:r>
        <w:rPr>
          <w:rFonts w:ascii="Times New Roman" w:hAnsi="Times New Roman" w:eastAsia="仿宋_GB2312" w:cs="Times New Roman"/>
          <w:sz w:val="32"/>
          <w:szCs w:val="32"/>
        </w:rPr>
        <w:t>各省、市、自治区人民政府和国务院各部门可根据本条例，结合具体情况，制定实施细则。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　</w:t>
      </w:r>
      <w:r>
        <w:rPr>
          <w:rFonts w:ascii="Times New Roman" w:hAnsi="Times New Roman" w:eastAsia="仿宋_GB2312" w:cs="Times New Roman"/>
          <w:sz w:val="32"/>
          <w:szCs w:val="32"/>
        </w:rPr>
        <w:t>本条例自发</w:t>
      </w:r>
      <w:r>
        <w:rPr>
          <w:rFonts w:hint="eastAsia" w:ascii="仿宋_GB2312" w:hAnsi="仿宋_GB2312" w:eastAsia="仿宋_GB2312" w:cs="仿宋_GB2312"/>
          <w:sz w:val="32"/>
          <w:szCs w:val="32"/>
        </w:rPr>
        <w:t>布之日起施行。一九六三年发布的《技术改进奖励条例》同时废止。</w:t>
      </w: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- 4 -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2YzNjBkOTgyNWQ1YTMxYzM3MzMwNWFiODNmOWIzYWM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C5978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C0E74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80734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99C79B4"/>
    <w:rsid w:val="2A8D0D45"/>
    <w:rsid w:val="2B01664D"/>
    <w:rsid w:val="2B6968CF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6F7CFA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D3577BA"/>
    <w:rsid w:val="7D417D38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semiHidden/>
    <w:unhideWhenUsed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AA121F-7FF5-4818-A1A6-B97C0CA6DC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183</Words>
  <Characters>1049</Characters>
  <Lines>8</Lines>
  <Paragraphs>2</Paragraphs>
  <TotalTime>0</TotalTime>
  <ScaleCrop>false</ScaleCrop>
  <LinksUpToDate>false</LinksUpToDate>
  <CharactersWithSpaces>1230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ZDY</cp:lastModifiedBy>
  <dcterms:modified xsi:type="dcterms:W3CDTF">2022-10-30T07:40:36Z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AAC7F7B6F5494A41BADB80700CA67999</vt:lpwstr>
  </property>
</Properties>
</file>