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企业财务会计报告条例</w:t>
      </w:r>
    </w:p>
    <w:p>
      <w:pPr>
        <w:pStyle w:val="3"/>
        <w:ind w:firstLine="640" w:firstLineChars="200"/>
        <w:rPr>
          <w:rFonts w:ascii="Times New Roman" w:hAnsi="Times New Roman" w:eastAsia="楷体_GB2312" w:cs="Times New Roman"/>
          <w:sz w:val="32"/>
          <w:szCs w:val="32"/>
        </w:rPr>
      </w:pPr>
    </w:p>
    <w:p>
      <w:pPr>
        <w:pStyle w:val="3"/>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(2000年6月21日中华人民共和国国务院令第287号公布　自2001年1月1日起施行)</w:t>
      </w:r>
    </w:p>
    <w:p>
      <w:pPr>
        <w:pStyle w:val="2"/>
        <w:rPr>
          <w:rFonts w:ascii="方正黑体_GBK"/>
        </w:rPr>
      </w:pPr>
      <w:r>
        <w:rPr>
          <w:rFonts w:hint="eastAsia" w:ascii="方正黑体_GBK" w:hAnsi="Times New Roman" w:cs="Times New Roman"/>
        </w:rPr>
        <w:t>第一章　总则</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为了规范企业财务会计报告，保证财务会计报告的真实、完整，根据《中华人民</w:t>
      </w:r>
      <w:bookmarkStart w:id="0" w:name="_GoBack"/>
      <w:bookmarkEnd w:id="0"/>
      <w:r>
        <w:rPr>
          <w:rFonts w:ascii="Times New Roman" w:hAnsi="Times New Roman" w:eastAsia="仿宋_GB2312" w:cs="Times New Roman"/>
          <w:sz w:val="32"/>
          <w:szCs w:val="32"/>
        </w:rPr>
        <w:t>共和国会计法》，制定本条例。</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企业(包括公司，下同)编制和对外提供财务会计报告，应当遵守本条例。</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本条例所称财务会计报告，是指企业对外提供的反映企业某一特定日期财务状况和某一会计期间经营成果、现金流量的文件。</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企业不得编制和对外提供虚假的或者隐瞒重要事实的财务会计报告。</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企业负责人对本企业财务会计报告的真实性、完整性负责。</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任何组织或者个人不得授意、指使、强令企业编制和对外提供虚假的或者隐瞒重要事实的财务会计报告。</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注册会计师、会计师事务所审计企业财务会计报告，应当依照有关法律、行政法规以及注册会计师执业规则的规定进行，并对所出具的审计报告负责。</w:t>
      </w:r>
    </w:p>
    <w:p>
      <w:pPr>
        <w:pStyle w:val="2"/>
        <w:rPr>
          <w:rFonts w:ascii="方正黑体_GBK"/>
        </w:rPr>
      </w:pPr>
      <w:r>
        <w:rPr>
          <w:rFonts w:hint="eastAsia" w:ascii="方正黑体_GBK" w:hAnsi="Times New Roman" w:cs="Times New Roman"/>
        </w:rPr>
        <w:t>第二章　财务会计报告的构成</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财务会计报告分为年度、半年度、季度和月度财务会计报告。</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年度、半年度财务会计报告应当包括：</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(一)会计报表；</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(二)会计报表附注；</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(三)财务情况说明书。</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会计报表应当包括资产负债表、利润表、现金流量表及相关附表。</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季度、月度财务会计报告通常仅指会计报表，会计报表至少应当包括资产负债表和利润表。国家统一的会计制度规定季度、月度财务会计报告需要编制会计报表附注的，从其规定。</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资产负债表是反映企业在某一特定日期财务状况的报表。资产负债表应当按照资产、负债和所有者权益(或者股东权益，下同)分类分项列示。其中，资产、负债和所有者权益的定义及列示应当遵循下列规定：</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资产，是指过去的交易、事项形成并由企业拥有或者控制的资源，该资源预期会给企业带来经济利益。在资产负债表上，资产应当按照其流动性分类分项列示，包括流动资产、长期投资、固定资产、无形资产及其他资产。银行、保险公司和非银行金融机构的各项资产有特殊性的，按照其性质分类分项列示。</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负债，是指过去的交易、事项形成的现时义务，履行该义务预期会导致经济利益流出企业。在资产负债表上，负债应当按照其流动性分类分项列示，包括流动负债、长期负债等。银行、保险公司和非银行金融机构的各项负债有特殊性的，按照其性质分类分项列示。</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(三)所有者权益，是指所有者在企业资产中享有的经济利益，其金额为资产减去负债后的余额。在资产负债表上，所有者权益应当按照实收资本(或者股本)、资本公积、盈余公积、未分配利润等项目分项列示。</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利润表是反映企业在一定会计期间经营成果的报表。利润表应当按照各项收入、费用以及构成利润的各个项目分类分项列示。其中，收入、费用和利润的定义及列示应当遵循下列规定：</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(一)收入，是指企业在销售商品、提供劳务及让渡资产使用权等日常活动中所形成的经济利益的总流入。收入不包括为第三方或者客户代收的款项。在利润表上，收入应当按照其重要性分项列示。</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(二)费用，是指企业为销售商品、提供劳务等日常活动所发生的经济利益的流出。在利润表上，费用应当按照其性质分项列示。</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(三)利润，是指企业在一定会计期间的经营成果。在利润表上，利润应当按照营业利润、利润总额和净利润等利润的构成分类分项列示。</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现金流量表是反映企业一定会计期间现金和现金等价物(以下简称现金)流入和流出的报表。现金流量表应当按照经营活动、投资活动和筹资活动的现金流量分类分项列示。其中，经营活动、投资活动和筹资活动的定义及列示应当遵循下列规定：</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经营活动，是指企业投资活动和筹资活动以外的所有交易和事项。在现金流量表上，经营活动的现金流量应当按照其经营活动的现金流入和流出的性质分项列示；银行、保险公司和非银行金融机构的经营活动按照其经营活动特点分项列示。</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(二)投资活动，是指企业长期资产的购建和不包括在现金等价物范围内的投资及其处置活动。在现金流量表上，投资活动的现金流量应当按照其投资活动的现金流入和流出的性质分项列示。</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(三)筹资活动，是指导致企业资本及债务规模和构成发生变化的活动。在现金流量表上，筹资活动的现金流量应当按照其筹资活动的现金流入和流出的性质分项列示。</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相关附表是反映企业财务状况、经营成果和现金流量的补充报表，主要包括利润分配表以及国家统一的会计制度规定的其他附表。</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利润分配表是反映企业一定会计期间对实现净利润以及以前年度未分配利润的分配或者亏损弥补的报表。利润分配表应当按照利润分配各个项目分类分项列示。</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年度、半年度会计报表至少应当反映两个年度或者相关两个期间的比较数据。</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会计报表附注是为便于会计报表使用者理解会计报表的内容而对会计报表的编制基础、编制依据、编制原则和方法及主要项目等所作的解释。会计报表附注至少应当包括下列内容：</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(一)不符合基本会计假设的说明；</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(二)重要会计政策和会计估计及其变更情况、变更原因及其对财务状况和经营成果的影响；</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(三)或有事项和资产负债表日后事项的说明；</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(四)关联方关系及其交易的说明；</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(五)重要资产转让及其出售情况；</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(六)企业合并、分立；</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(七)重大投资、融资活动；</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(八)会计报表中重要项目的明细资料；</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(九)有助于理解和分析会计报表需要说明的其他事项。</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财务情况说明书至少应当对下列情况作出说明：</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(一)企业生产经营的基本情况；</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(二)利润实现和分配情况；</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(三)资金增减和周转情况；</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(四)对企业财务状况、经营成果和现金流量有重大影响的其他事项。</w:t>
      </w:r>
    </w:p>
    <w:p>
      <w:pPr>
        <w:pStyle w:val="2"/>
        <w:rPr>
          <w:rFonts w:ascii="方正黑体_GBK"/>
        </w:rPr>
      </w:pPr>
      <w:r>
        <w:rPr>
          <w:rFonts w:hint="eastAsia" w:ascii="方正黑体_GBK" w:hAnsi="Times New Roman" w:cs="Times New Roman"/>
        </w:rPr>
        <w:t>第三章　财务会计报告的编制</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企业应当于年度终了编报年度财务会计报告。国家统一的会计制度规定企业应当编报半年度、季度和月度财务会计报告的，从其规定。</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企业编制财务会计报告，应当根据真实的交易、事项以及完整、准确的账簿记录等资料，并按照国家统一的会计制度规定的编制基础、编制依据、编制原则和方法。</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企业不得违反本条例和国家统一的会计制度规定，随意改变财务会计报告的编制基础、编制依据、编制原则和方法。</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任何组织或者个人不得授意、指使、强令企业违反本条例和国家统一的会计制度规定，改变财务会计报告的编制基础、编制依据、编制原则和方法。</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企业应当依照本条例和国家统一的会计制度规定，对会计报表中各项会计要素进行合理的确认和计量，不得随意改变会计要素的确认和计量标准。</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企业应当依照有关法律、行政法规和本条例规定的结账日进行结账，不得提前或者延迟。年度结账日为公历年度每年的12月31日；半年度、季度、月度结账日分别为公历年度每半年、每季、每月的最后</w:t>
      </w:r>
      <w:r>
        <w:rPr>
          <w:rFonts w:hint="eastAsia" w:ascii="Times New Roman" w:hAnsi="Times New Roman" w:eastAsia="仿宋_GB2312" w:cs="Times New Roman"/>
          <w:sz w:val="32"/>
          <w:szCs w:val="32"/>
        </w:rPr>
        <w:t>一</w:t>
      </w:r>
      <w:r>
        <w:rPr>
          <w:rFonts w:ascii="Times New Roman" w:hAnsi="Times New Roman" w:eastAsia="仿宋_GB2312" w:cs="Times New Roman"/>
          <w:sz w:val="32"/>
          <w:szCs w:val="32"/>
        </w:rPr>
        <w:t>天。</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企业在编制年度财务会计报告前，应当按照下列规定，全面清查资产、核实债务：</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(一)结算款项，包括应收款项、应付款项、应交税金等是否存在，与债务、债权单位的相应债务、债权金额是否一致；</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(二)原材料、在产品、自制半成品、库存商品等各项存货的实存数量与账面数量是否一致，是否有报废损失和积压物资等；</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(三)各项投资是否存在，投资收益是否按照国家统一的会计制度规定进行确认和计量；</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(四)房屋建筑物、机器设备、运输工具等各项固定资产的实存数量与</w:t>
      </w:r>
      <w:r>
        <w:rPr>
          <w:rFonts w:hint="eastAsia" w:ascii="Times New Roman" w:hAnsi="Times New Roman" w:eastAsia="仿宋_GB2312" w:cs="Times New Roman"/>
          <w:sz w:val="32"/>
          <w:szCs w:val="32"/>
        </w:rPr>
        <w:t>账</w:t>
      </w:r>
      <w:r>
        <w:rPr>
          <w:rFonts w:ascii="Times New Roman" w:hAnsi="Times New Roman" w:eastAsia="仿宋_GB2312" w:cs="Times New Roman"/>
          <w:sz w:val="32"/>
          <w:szCs w:val="32"/>
        </w:rPr>
        <w:t>面数量是否一致；</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(五)在建工程的实际发生额与账面记录是否一致；</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(六)需要清查、核实的其他内容。</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企业通过前款规定的清查、核实，查明财产物资的实存数量与账面数量是否一致、各项结算款项的拖欠情况及其原因、材料物资的实际储备情况、各项投资是否达到预期目的、固定资产的使用情况及其完好程度等。企业清查、核实后，应当将清查、核实的结果及其处理办法向企业的董事会或者相应机构报告，并根据国家统一的会计制度的规定进行相应的会计处理。</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企业应当在年度中间根据具体情况，对各项财产物资和结算款项进行重点抽查、轮流清查或者定期清查。</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企业在编制财务会计报告前，除应当全面清查资产、核实债务外，还应当完成下列工作：</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(一)核对各会计账簿记录与会计凭证的内容、金额等是否一致，记账方向是否相符；</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(二)依照本条例规定的结账日进行结账，结出有关会计账簿的余额和发生额，并核对各会计账簿之间的余额；</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(三)检查相关的会计核算是否按照国家统一的会计制度的规定进行；</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(四)对于国家统一的会计制度没有规定统一核算方法的交易、事项，检查其是否按照会计核算的一般原则进行确认和计量以及相关账务处理是否合理；</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(五)检查是否存在因会计差错、会计政策变更等原因需要调整前期或者本期相关项目。</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在前款规定工作中发现问题的，应当按照国家统一的会计制度的规定进行处理。</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企业编制年度和半年度财务会计报告时，对经查实后的资产、负债有变动的，应当按照资产、负债的确认和计量标准进行确认和计量，并按照国家统一的会计制度的规定进行相应的会计处理。</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企业应当按照国家统一的会计制度规定的会计报表格式和内容，根据登记完整、核对无误的会计账簿记录和其他有关资料编制会计报表，做到内容完整、数字真实、计算准确，不得漏报或者任意取舍。</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会计报表之间、会计报表各项目之间，凡有对应关系的数字，应当相互一致；会计报表中本期与上期的有关数字应当相互衔接。</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会计报表附注和财务情况说明书应当按照本条例和国家统一的会计制度的规定，对会计报表中需要说明的事项作出真实、完整、清楚的说明。</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企业发生合并、分立情形的，应当按照国家统一的会计制度的规定编制相应的财务会计报告。</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企业终止营业的，应当在终止营业时按照编制年度财务会计报告的要求全面清查资产、核实债务、进行结账，并编制财务会计报告；在清算期间，应当按照国家统一的会计制度的规定编制清算期间的财务会计报告。</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按照国家统一的会计制度的规定，需要编制合并会计报表的企业集团，母公司除编制其个别会计报表外，还应当编制企业集团的合并会计报表。</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企业集团合并会计报表，是指反映企业集团整体财务状况、经营成果和现金流量的会计报表。</w:t>
      </w:r>
    </w:p>
    <w:p>
      <w:pPr>
        <w:pStyle w:val="2"/>
        <w:rPr>
          <w:rFonts w:ascii="方正黑体_GBK"/>
        </w:rPr>
      </w:pPr>
      <w:r>
        <w:rPr>
          <w:rFonts w:hint="eastAsia" w:ascii="方正黑体_GBK" w:hAnsi="Times New Roman" w:cs="Times New Roman"/>
        </w:rPr>
        <w:t>第四章　财务会计报告的对外提供</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对外提供的财务会计报告反映的会计信息应当真实、完整。</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企业应当依照法律、行政法规和国家统一的会计制度有关财务会计报告提供期限的规定，及时对外提供财务会计报告。</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企业对外提供的财务会计报告应当依次编定页数，加具封面，装订成册，加盖公章。封面上应当注明：企业名称、企业统一代码、组织形式、地址、报表所属年度或者月份、报出日期，并由企业负责人和主管会计工作的负责人、会计机构负责人(会计主管人员)签名并盖章；设置总会计师的企业，还应当由总会计师签名并盖章。</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企业应当依照企业章程的规定，向投资者提供财务会计报告。</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国务院派出监事会的国有重点大型企业、国有重点金融机构和省、自治区、直辖市人民政府派出监事会的国有企业，应当依法定期向监事会提供财务会计报告。</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有关部门或者机构依照法律、行政法规或者国务院的规定，要求企业提供部分或者全部财务会计报告及其有关数据的，应当向企业出示依据，并不得要求企业改变财务会计报告有关数据的会计口径。</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非依照法律、行政法规或者国务院的规定，任何组织或者个人不得要求企业提供部分或者全部财务会计报告及其有关数据。</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违反本条例规定，要求企业提供部分或者全部财务会计报告及其有关数据的，企业有权拒绝。</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国有企业、国有控股的或者占主导地位的企业，应当至少每年一次向本企业的职工代表大会公布财务会计报告，并重点说明下列事项：</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反映与职工利益密切相关的信息，包括：管理费用的构成情况，企业管理人员工资、福利和职工工资、福利费用的发放、使用和结余情况，公益金的提取及使用情况，利润分配的情况以及其他与职工利益相关的信息；</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(二)内部审计发现的问题及纠正情况；</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(三)注册会计师审计的情况；</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(四)国家审计机关发现的问题及纠正情况；</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(五)重大的投资、融资和资产处置决策及其原因的说明；</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(六)需要说明的其他重要事项。</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企业依照本条例规定向有关各方提供的财务会计报告，其编制基础、编制依据、编制原则和方法应当一致，不得提供编制基础、编制依据、编制原则和方法不同的财务会计报告。</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财务会计报告须经注册会计师审计的，企业应当将注册会计师及其会计师事务所出具的审计报告随同财务会计报告一并对外提供。</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接受企业财务会计报告的组织或者个人，在企业财务会计报告未正式对外披露前，应当对其内容保密。</w:t>
      </w:r>
    </w:p>
    <w:p>
      <w:pPr>
        <w:pStyle w:val="2"/>
        <w:rPr>
          <w:rFonts w:ascii="方正黑体_GBK"/>
        </w:rPr>
      </w:pPr>
      <w:r>
        <w:rPr>
          <w:rFonts w:hint="eastAsia" w:ascii="方正黑体_GBK" w:hAnsi="Times New Roman" w:cs="Times New Roman"/>
        </w:rPr>
        <w:t>第五章　法律责任</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违反本条例规定，有下列行为之一的，由县级以上人民政府财政部门责令限期改正，对企业可以处3000元以上5万元以下的罚款；对直接负责的主管人员和其他直接责任人员，可以处2000元以上2万元以下的罚款；属于国家工作人员的，并依法给予行政处分或者纪律处分：</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(一)随意改变会计要素的确认和计量标准的；</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(二)随意改变财务会计报告的编制基础、编制依据、编制原则和方法的；</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(三)提前或者延迟结账日结账的；</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(四)在编制年度财务会计报告前，未按照本条例规定全面清查资产、核实债务的；</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(五)拒绝财政部门和其他有关部门对财务会计报告依法进行的监督检查，或者不如实提供有关情况的。</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会计人员有前款所列行为之一，情节严重的，由县级以上人民政府财政部门吊销会计从业资格证书。</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企业编制、对外提供虚假的或者隐瞒重要事实的财务会计报告，构成犯罪的，依法追究刑事责任。</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有前款行为，尚不构成犯罪的，由县级以上人民政府财政部门予以通报，对企业可以处5000元以上10万元以下的罚款；对直接负责的主管人员和其他直接责任人员，可以处3000元以上5万元以下的罚款；属于国家工作人员的，并依法给予撤职直至开除的行政处分或者纪律处分；对其中的会计人员，情节严重的，并由县级以上人民政府财政部门吊销会计从业资格证书。</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授意、指使、强令会计机构、会计人员及其他人员编制、对外提供虚假的或者隐瞒重要事实的财务会计报告，或者隐匿、故意销毁依法应当保存的财务会计报告，构成犯罪的，依法追究刑事责任；尚不构成犯罪的，可以处5000元以上5万元以下的罚款；属于国家工作人员的，并依法给予降级、撤职、开除的行政处分或者纪律处分。</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违反本条例的规定，要求企业向其提供部分或者全部财务会计报告及其有关数据的，由县级以上人民政府责令改正。</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违反本条例规定，同时违反其他法律、行政法规规定的，由有关部门在各自的职权范围内依法给予处罚。</w:t>
      </w:r>
    </w:p>
    <w:p>
      <w:pPr>
        <w:pStyle w:val="2"/>
        <w:rPr>
          <w:rFonts w:ascii="方正黑体_GBK"/>
        </w:rPr>
      </w:pPr>
      <w:r>
        <w:rPr>
          <w:rFonts w:hint="eastAsia" w:ascii="方正黑体_GBK" w:hAnsi="Times New Roman" w:cs="Times New Roman"/>
        </w:rPr>
        <w:t>第六章　附则</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国务院财政部门可以根据本条例的规定，制定财务会计报告的具体编报办法。</w:t>
      </w:r>
    </w:p>
    <w:p>
      <w:pPr>
        <w:pStyle w:val="3"/>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不对外筹集资金、经营规模较小的企业编制和对外提供财务会计报告的办法，由国务院财政部门根据本条例的原则另行规定。</w:t>
      </w:r>
    </w:p>
    <w:p>
      <w:pPr>
        <w:keepNext w:val="0"/>
        <w:keepLines w:val="0"/>
        <w:pageBreakBefore w:val="0"/>
        <w:widowControl w:val="0"/>
        <w:kinsoku/>
        <w:wordWrap/>
        <w:overflowPunct/>
        <w:topLinePunct w:val="0"/>
        <w:autoSpaceDE/>
        <w:autoSpaceDN/>
        <w:bidi w:val="0"/>
        <w:adjustRightInd/>
        <w:snapToGrid/>
        <w:spacing w:after="200"/>
        <w:ind w:firstLine="640" w:firstLineChars="200"/>
        <w:textAlignment w:val="auto"/>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本条例自2001年1月1日起施行。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方正黑体_GBK">
    <w:altName w:val="微软雅黑"/>
    <w:panose1 w:val="00000000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Courier New">
    <w:panose1 w:val="02070309020205020404"/>
    <w:charset w:val="00"/>
    <w:family w:val="modern"/>
    <w:pitch w:val="default"/>
    <w:sig w:usb0="E0002EFF" w:usb1="C0007843" w:usb2="00000009" w:usb3="00000000" w:csb0="400001FF" w:csb1="FFFF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2050" o:spid="_x0000_s2050"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YjcwNjc0YzMxNmYyOGI0OGQzN2I4NWFiZjNiNjQ0OTUifQ=="/>
  </w:docVars>
  <w:rsids>
    <w:rsidRoot w:val="700F7F0C"/>
    <w:rsid w:val="00312693"/>
    <w:rsid w:val="00462218"/>
    <w:rsid w:val="00763CC8"/>
    <w:rsid w:val="00BE5C39"/>
    <w:rsid w:val="00C142F1"/>
    <w:rsid w:val="00E04146"/>
    <w:rsid w:val="00EB6D24"/>
    <w:rsid w:val="14390B0B"/>
    <w:rsid w:val="22071D69"/>
    <w:rsid w:val="45657323"/>
    <w:rsid w:val="47E36AAA"/>
    <w:rsid w:val="67EA458C"/>
    <w:rsid w:val="700F7F0C"/>
    <w:rsid w:val="754030A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9"/>
    <w:pPr>
      <w:keepNext/>
      <w:keepLines/>
      <w:spacing w:before="260" w:after="260" w:line="416" w:lineRule="auto"/>
      <w:jc w:val="center"/>
      <w:outlineLvl w:val="1"/>
    </w:pPr>
    <w:rPr>
      <w:rFonts w:eastAsia="方正黑体_GBK" w:asciiTheme="majorHAnsi" w:hAnsiTheme="majorHAnsi" w:cstheme="majorBidi"/>
      <w:bCs/>
      <w:sz w:val="32"/>
      <w:szCs w:val="32"/>
    </w:rPr>
  </w:style>
  <w:style w:type="character" w:default="1" w:styleId="7">
    <w:name w:val="Default Paragraph Font"/>
    <w:semiHidden/>
    <w:unhideWhenUsed/>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5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14</Pages>
  <Words>5888</Words>
  <Characters>5919</Characters>
  <Lines>43</Lines>
  <Paragraphs>12</Paragraphs>
  <TotalTime>9</TotalTime>
  <ScaleCrop>false</ScaleCrop>
  <LinksUpToDate>false</LinksUpToDate>
  <CharactersWithSpaces>5972</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2019-05-22T14:01:00Z</dcterms:created>
  <dc:creator>Administrator</dc:creator>
  <cp:lastModifiedBy>哈麻批</cp:lastModifiedBy>
  <dcterms:modified xsi:type="dcterms:W3CDTF">2022-07-13T09:26:13Z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37AE6293CDE14BC1ADED3F925B0A0128</vt:lpwstr>
  </property>
</Properties>
</file>