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方正黑体_GBK" w:hAnsi="方正黑体_GBK" w:eastAsia="方正黑体_GBK" w:cs="方正黑体_GBK"/>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中华人民共和国海关稽查条例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1997年1月3日中华人民共和国国务院令第209号发布　</w:t>
      </w:r>
      <w:r>
        <w:rPr>
          <w:rFonts w:hint="eastAsia" w:ascii="楷体_GB2312" w:hAnsi="楷体_GB2312" w:eastAsia="楷体_GB2312" w:cs="楷体_GB2312"/>
          <w:sz w:val="32"/>
          <w:szCs w:val="32"/>
        </w:rPr>
        <w:t>根据2011年1月8日《国务院关于废止和修改部分行政法规的决定》第一次修订　根据2016年6月19日《国务院关于修改〈中华人民共和国海关稽查条例〉的决定》第二次修订</w:t>
      </w:r>
      <w:r>
        <w:rPr>
          <w:rFonts w:ascii="Times New Roman" w:hAnsi="Times New Roman" w:eastAsia="楷体_GB2312" w:cs="Times New Roman"/>
          <w:sz w:val="32"/>
          <w:szCs w:val="32"/>
        </w:rPr>
        <w:t>　</w:t>
      </w:r>
      <w:r>
        <w:rPr>
          <w:rFonts w:hint="eastAsia" w:ascii="楷体_GB2312" w:hAnsi="楷体_GB2312" w:eastAsia="楷体_GB2312" w:cs="楷体_GB2312"/>
          <w:sz w:val="32"/>
          <w:szCs w:val="32"/>
        </w:rPr>
        <w:t>根据2022年3月29日《国务院关于修改和废止部分行政法规的决定》第三次修订</w:t>
      </w:r>
      <w:r>
        <w:rPr>
          <w:rFonts w:ascii="Times New Roman" w:hAnsi="Times New Roman" w:eastAsia="楷体_GB2312" w:cs="Times New Roman"/>
          <w:sz w:val="32"/>
          <w:szCs w:val="32"/>
        </w:rPr>
        <w:t>)</w:t>
      </w:r>
    </w:p>
    <w:p>
      <w:pPr>
        <w:pStyle w:val="3"/>
      </w:pPr>
      <w:r>
        <w:t>第一章　总　　则</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为了建立、健全海关稽查制度，加强海关监督管理，维护正常的进出口秩序和当事人的合法权益，保障国家税收收入，促进对外贸易的发</w:t>
      </w:r>
      <w:r>
        <w:rPr>
          <w:rFonts w:hint="eastAsia" w:ascii="仿宋_GB2312" w:hAnsi="仿宋_GB2312" w:eastAsia="仿宋_GB2312" w:cs="仿宋_GB2312"/>
          <w:sz w:val="32"/>
          <w:szCs w:val="32"/>
        </w:rPr>
        <w:t>展，根据《中华人民共和国海关法》(以下简称海关法)，制定本条例。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所称海关稽查，是指海关自进出口货物放行之日起3年内或者在保税货物、减免税进口货物的海关监管期限内及其后的3年内，对与进出口货物直接有关的企业、单位的会计账簿、会计凭证、报关单证以及其他有关资料(以下统称账簿、单证等有关资料)和有关进出口货物进行核查，监督其进出口活</w:t>
      </w:r>
      <w:r>
        <w:rPr>
          <w:rFonts w:ascii="Times New Roman" w:hAnsi="Times New Roman" w:eastAsia="仿宋_GB2312" w:cs="Times New Roman"/>
          <w:sz w:val="32"/>
          <w:szCs w:val="32"/>
        </w:rPr>
        <w:t>动的真实性和合法性。</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海关对下</w:t>
      </w:r>
      <w:r>
        <w:rPr>
          <w:rFonts w:hint="eastAsia" w:ascii="仿宋_GB2312" w:hAnsi="仿宋_GB2312" w:eastAsia="仿宋_GB2312" w:cs="仿宋_GB2312"/>
          <w:sz w:val="32"/>
          <w:szCs w:val="32"/>
        </w:rPr>
        <w:t>列与进出口货物直接有关的企业、单位实施海关稽查：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(一)从事对外贸易的企业、单位；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(二)从事对外加工贸易的企业；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(三)经营保税业务的企业；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(四)使用或者经营减免税进口货物的企业、单位；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(五)从事报关业务的企业；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(六)海关总署规定的与进出口货物直接有关的其他企业、单位。</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海关根据稽查工作需要，可以向有关行业协会、政府部门和相关企业等收集特定商品、行业与进出口活动有关的信息。收集的信息涉及商业秘密的，海关应当予以保密。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海关和海关工作人员执行海关稽查职务，应当客观公正，实事求是，廉洁奉公，保守被稽查人的商业秘密，不得侵犯被稽查人的合法权益。</w:t>
      </w:r>
    </w:p>
    <w:p>
      <w:pPr>
        <w:pStyle w:val="3"/>
      </w:pPr>
      <w:r>
        <w:t>第二章　账簿、单证等有关资料的管理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与进出口货物直接有关的企业、单位所设置、编制的会计账簿、会计凭证、会计报表和其他会计资料，应当真实、准确、完整地记录和反映进出口业务的有关情况。</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与进出口货物直接有关的企业、单位应当依照有关法律、行政法规规定的保管期限，保管会计账簿、会计凭证、会计报表和其他会计资料。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报关单证、进出口单证、合同以及与进出口业务直接有关的其他资料，应当在本条例第二条规定的期限内保管。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与进出口货物直接有关的企业、单位会计制度健全，能够通过计算机正确、完整地记账、核算的，其计算机储存和输出的会计记录视同会计资料。</w:t>
      </w:r>
    </w:p>
    <w:p>
      <w:pPr>
        <w:pStyle w:val="3"/>
      </w:pPr>
      <w:r>
        <w:t>第三章　海关稽查的实施</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海关应当按照海关监管的要求，根据与进出口货物直接有关的企业、单位的进出口信用状况和风险状况以及进出口货物的具体情况，确定海关稽查重点。</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海关进行稽查时，应当</w:t>
      </w:r>
      <w:r>
        <w:rPr>
          <w:rFonts w:hint="eastAsia" w:ascii="仿宋_GB2312" w:hAnsi="仿宋_GB2312" w:eastAsia="仿宋_GB2312" w:cs="仿宋_GB2312"/>
          <w:sz w:val="32"/>
          <w:szCs w:val="32"/>
        </w:rPr>
        <w:t>在实施稽查的3日前，书面通知被稽查人。在被稽查人有重大违法嫌疑，其账簿、单</w:t>
      </w:r>
      <w:r>
        <w:rPr>
          <w:rFonts w:ascii="Times New Roman" w:hAnsi="Times New Roman" w:eastAsia="仿宋_GB2312" w:cs="Times New Roman"/>
          <w:sz w:val="32"/>
          <w:szCs w:val="32"/>
        </w:rPr>
        <w:t>证等有关资料以及进出口货物可能被转移、隐匿、毁弃等紧急情况下，经直属海关关长或者其授权的隶属海关关长批</w:t>
      </w:r>
      <w:bookmarkStart w:id="0" w:name="_GoBack"/>
      <w:bookmarkEnd w:id="0"/>
      <w:r>
        <w:rPr>
          <w:rFonts w:ascii="Times New Roman" w:hAnsi="Times New Roman" w:eastAsia="仿宋_GB2312" w:cs="Times New Roman"/>
          <w:sz w:val="32"/>
          <w:szCs w:val="32"/>
        </w:rPr>
        <w:t>准，海关可以不经事先通知进行稽查。</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海关进行稽查时，应当组成稽查组。稽查组的组成人员不得少</w:t>
      </w:r>
      <w:r>
        <w:rPr>
          <w:rFonts w:hint="eastAsia" w:ascii="仿宋_GB2312" w:hAnsi="仿宋_GB2312" w:eastAsia="仿宋_GB2312" w:cs="仿宋_GB2312"/>
          <w:sz w:val="32"/>
          <w:szCs w:val="32"/>
        </w:rPr>
        <w:t>于2人。</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海关进行稽查时，海关工作人员应当出示海关稽查证。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海关稽查证，由海关总署统一制发。</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海关进行稽查时，海关工作人员与被稽查人有直接利害关系的，应当回避。</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海关进行</w:t>
      </w:r>
      <w:r>
        <w:rPr>
          <w:rFonts w:hint="eastAsia" w:ascii="仿宋_GB2312" w:hAnsi="仿宋_GB2312" w:eastAsia="仿宋_GB2312" w:cs="仿宋_GB2312"/>
          <w:sz w:val="32"/>
          <w:szCs w:val="32"/>
        </w:rPr>
        <w:t>稽查时，可以行使下列职权：</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(一)查阅、复制被稽查人的账簿、单证等有关资料；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(二)进入被稽查人的生产经营场所、货物存放场所，检查与进出口活动有关的生产经营情况和货物；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(三)询问被稽查人的法定代表人、主要负责人员和其他有关人员与进出口活动有关的情况和问题；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(四)经直属海关关长或者其授权的隶属海关关长批准，查询被稽查人在商业银行或者其他金融机构的存款账户。</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海关进行稽查时，发现被稽查人有可能转移、隐匿、篡改、毁弃账簿、单证等有关资料的，经直属海关关长或者其授权的隶属海关关长批准，可以查封、扣押其账簿、单证等有关资料以及相关电子数据存储介质。采取该项措施时，不得妨碍被稽查人正常的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海关对有关情况查明或者取证后，应当立即解除对账簿、单证等有关资料以及相关电子数据存储介质的查封、扣押。</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海关进行稽查时，发现被稽查人的进出口货物有违反海关法和其他有关法律、行政法规规定的嫌疑的，经直属海关关长或者其授权的隶属海关关长批准，可以查封、扣押有关进出口货物。</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被稽查人应当配合海关稽查工作，并提供必要的工作条件。</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被稽查人应当接受海关稽查，如实反映情况，提供账簿、单证等有关资料，不得拒绝、拖延、隐瞒。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被稽查人使用计算机记账的，应当向海关提供记账软件、使用说明书及有关资料。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海关查阅、复制被稽查人的账簿、单证等有关资料或者进入被稽查人的生产经营场所、货物存放场所检查时，被稽查人的法定代表人或者主要负责人员或者其指定的代表应当到场，并按照海关的要求清点账簿、打开货物存放场所、搬移货物或者开启货物包装。</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海关进行稽查时，与被稽查人有财务往来或者其他商务往来的企业、单位应当向海关如实反映被稽查人的有关情况，提供有关资料和证明材料。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海关进行稽查时，可以委托会计、税务等方面的专业机构就相关问题作出专业结论。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被稽查人委托会计、税务等方面的专业机构作出的专业结论，可以作为海关稽查的参考依据。</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海关稽查组实施稽查后，应当向海关报送稽查报告。稽查报告认定被</w:t>
      </w:r>
      <w:r>
        <w:rPr>
          <w:rFonts w:hint="eastAsia" w:ascii="仿宋_GB2312" w:hAnsi="仿宋_GB2312" w:eastAsia="仿宋_GB2312" w:cs="仿宋_GB2312"/>
          <w:sz w:val="32"/>
          <w:szCs w:val="32"/>
        </w:rPr>
        <w:t>稽查人涉嫌违法的，在报送海关前应当就稽查报告认定的事实征求被稽查人的意见，被稽查人应当自收到相关材料之日起7日内，将其书面意见送交海</w:t>
      </w:r>
      <w:r>
        <w:rPr>
          <w:rFonts w:ascii="Times New Roman" w:hAnsi="Times New Roman" w:eastAsia="仿宋_GB2312" w:cs="Times New Roman"/>
          <w:sz w:val="32"/>
          <w:szCs w:val="32"/>
        </w:rPr>
        <w:t>关。</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海关应当自收到稽</w:t>
      </w:r>
      <w:r>
        <w:rPr>
          <w:rFonts w:hint="eastAsia" w:ascii="仿宋_GB2312" w:hAnsi="仿宋_GB2312" w:eastAsia="仿宋_GB2312" w:cs="仿宋_GB2312"/>
          <w:sz w:val="32"/>
          <w:szCs w:val="32"/>
        </w:rPr>
        <w:t>查报告之日起30日内，作出海关稽查结论并送达被稽查人。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海关应当在稽查结论中说明作出结论的理由，并告知被稽查人的权利。</w:t>
      </w:r>
    </w:p>
    <w:p>
      <w:pPr>
        <w:pStyle w:val="3"/>
      </w:pPr>
      <w:r>
        <w:t>第四章　海关稽查的处理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经海关稽查，发</w:t>
      </w:r>
      <w:r>
        <w:rPr>
          <w:rFonts w:hint="eastAsia" w:ascii="仿宋_GB2312" w:hAnsi="仿宋_GB2312" w:eastAsia="仿宋_GB2312" w:cs="仿宋_GB2312"/>
          <w:sz w:val="32"/>
          <w:szCs w:val="32"/>
        </w:rPr>
        <w:t>现关税或者其他进口环节的税收少征或者漏征的，由海关依照海关法和有关税收法律、行政法规的规定向被稽查人补征；因被稽查人违反规定而造成少征或者漏征的，由海关依照海关法和有关税收法律、行政法规的</w:t>
      </w:r>
      <w:r>
        <w:rPr>
          <w:rFonts w:ascii="Times New Roman" w:hAnsi="Times New Roman" w:eastAsia="仿宋_GB2312" w:cs="Times New Roman"/>
          <w:sz w:val="32"/>
          <w:szCs w:val="32"/>
        </w:rPr>
        <w:t>规定追征。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被稽查人在海关规定的期限内仍未缴纳税款的，海关可以依照海关法第六十条第一款、第二款的规定采取强制执行措施。</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依照本条例</w:t>
      </w:r>
      <w:r>
        <w:rPr>
          <w:rFonts w:hint="eastAsia" w:ascii="仿宋_GB2312" w:hAnsi="仿宋_GB2312" w:eastAsia="仿宋_GB2312" w:cs="仿宋_GB2312"/>
          <w:sz w:val="32"/>
          <w:szCs w:val="32"/>
        </w:rPr>
        <w:t>第十六条的规定查封、扣押的有关进出口货物，经海关稽查排除违法嫌疑的，海关应当立即解除查封、扣押；经海关稽查认定违法的，由海关依</w:t>
      </w:r>
      <w:r>
        <w:rPr>
          <w:rFonts w:ascii="Times New Roman" w:hAnsi="Times New Roman" w:eastAsia="仿宋_GB2312" w:cs="Times New Roman"/>
          <w:sz w:val="32"/>
          <w:szCs w:val="32"/>
        </w:rPr>
        <w:t>照海关法和海关行政处罚实施条例的规定处理。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经海关稽查，认定被稽查人有违反海关监管规定的行为的，由海关依照海关法和海关行政处罚实施条例的规定处理。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与进出口货物直接有关的企业、单位主动向海关报告其违反海关监管规定的行为，并接受海关处理的，应当从轻或者减轻行政处罚。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经海关稽查，发现被稽查人有走私行为，构成犯罪的，依法追究刑事责任；尚不构成犯罪的，由海关依照海关法和海关行政处罚实施条例的规定处理。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海关通过稽查决定补征或者追征的税款、没收的走私货物和违法所得以及收缴的罚款，全部上缴国库。</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被稽查人同海关发生纳税争议的，依照海关法第六十四条的规定办理。</w:t>
      </w:r>
    </w:p>
    <w:p>
      <w:pPr>
        <w:pStyle w:val="3"/>
      </w:pPr>
      <w:r>
        <w:t>第五章　法律责任</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被稽查人有下列行为之一的，由海关责令限期改正，逾期不</w:t>
      </w:r>
      <w:r>
        <w:rPr>
          <w:rFonts w:hint="eastAsia" w:ascii="仿宋_GB2312" w:hAnsi="仿宋_GB2312" w:eastAsia="仿宋_GB2312" w:cs="仿宋_GB2312"/>
          <w:sz w:val="32"/>
          <w:szCs w:val="32"/>
        </w:rPr>
        <w:t>改正的，处2万元以上10万元以下的罚款；情节严重的，禁止其从事报关活动；对负有直接责任的主管人员和其他直接责任人员处5000元以上5万元以下的罚款；构成犯罪的，依法追究刑事责任：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(一)向海关提供虚假情况或者隐瞒重要事实；</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(二)拒绝、拖延向海关提供账簿、单证等有关资料以及相关电子数据存储介质；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(三)转移、隐匿、篡改、毁弃报关单证、进出口单证、合同、与进出口业务直接有关的其他资料以及相关电子数据存储介质。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被稽查人</w:t>
      </w:r>
      <w:r>
        <w:rPr>
          <w:rFonts w:hint="eastAsia" w:ascii="仿宋_GB2312" w:hAnsi="仿宋_GB2312" w:eastAsia="仿宋_GB2312" w:cs="仿宋_GB2312"/>
          <w:sz w:val="32"/>
          <w:szCs w:val="32"/>
        </w:rPr>
        <w:t>未按照规定编制或者保管报关单证、进出口单证、合同以及与进出口业务直接有关的其他资料的，由海关责令限期改正，逾期不改正的，处1万元以上5万元以下的罚款；情节严重的，禁止其从事报关活动；对负有直接责任的主管人员和其他直接责任人员处1000元以上5000元以下的罚款。</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被稽查人未按照规定设置或者编制账簿，或者转移、隐匿、篡改、毁弃账簿的，依照会计法的有关规定追究法律责任。</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海关工</w:t>
      </w:r>
      <w:r>
        <w:rPr>
          <w:rFonts w:ascii="Times New Roman" w:hAnsi="Times New Roman" w:eastAsia="仿宋_GB2312" w:cs="Times New Roman"/>
          <w:spacing w:val="-6"/>
          <w:sz w:val="32"/>
          <w:szCs w:val="32"/>
        </w:rPr>
        <w:t>作人员在稽查中玩忽职守、徇私舞弊、滥用</w:t>
      </w:r>
      <w:r>
        <w:rPr>
          <w:rFonts w:ascii="Times New Roman" w:hAnsi="Times New Roman" w:eastAsia="仿宋_GB2312" w:cs="Times New Roman"/>
          <w:spacing w:val="-11"/>
          <w:sz w:val="32"/>
          <w:szCs w:val="32"/>
        </w:rPr>
        <w:t>职权，或者利用职务上的便利，收受、索取被稽查人的财物，构成犯罪的，依法追究刑事责任；尚不构成犯罪的，依法给予处</w:t>
      </w:r>
      <w:r>
        <w:rPr>
          <w:rFonts w:hint="eastAsia" w:ascii="仿宋_GB2312" w:hAnsi="仿宋_GB2312" w:eastAsia="仿宋_GB2312" w:cs="仿宋_GB2312"/>
          <w:spacing w:val="-11"/>
          <w:sz w:val="32"/>
          <w:szCs w:val="32"/>
        </w:rPr>
        <w:t>分</w:t>
      </w:r>
      <w:r>
        <w:rPr>
          <w:rFonts w:ascii="Times New Roman" w:hAnsi="Times New Roman" w:eastAsia="仿宋_GB2312" w:cs="Times New Roman"/>
          <w:spacing w:val="-11"/>
          <w:sz w:val="32"/>
          <w:szCs w:val="32"/>
        </w:rPr>
        <w:t>。</w:t>
      </w:r>
    </w:p>
    <w:p>
      <w:pPr>
        <w:pStyle w:val="3"/>
      </w:pPr>
      <w:r>
        <w:t>第六章　附　　则</w:t>
      </w:r>
    </w:p>
    <w:p>
      <w:pPr>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第三十四条</w:t>
      </w:r>
      <w:r>
        <w:rPr>
          <w:rFonts w:ascii="Times New Roman" w:hAnsi="Times New Roman" w:eastAsia="黑体" w:cs="Times New Roman"/>
          <w:sz w:val="32"/>
          <w:szCs w:val="32"/>
        </w:rPr>
        <w:t>　</w:t>
      </w:r>
      <w:r>
        <w:rPr>
          <w:rFonts w:ascii="Times New Roman" w:hAnsi="Times New Roman" w:eastAsia="仿宋_GB2312" w:cs="Times New Roman"/>
          <w:sz w:val="32"/>
          <w:szCs w:val="32"/>
        </w:rPr>
        <w:t>本</w:t>
      </w:r>
      <w:r>
        <w:rPr>
          <w:rFonts w:hint="eastAsia" w:ascii="仿宋_GB2312" w:hAnsi="仿宋_GB2312" w:eastAsia="仿宋_GB2312" w:cs="仿宋_GB2312"/>
          <w:kern w:val="2"/>
          <w:sz w:val="32"/>
          <w:szCs w:val="32"/>
          <w:lang w:val="en-US" w:eastAsia="zh-CN" w:bidi="ar-SA"/>
        </w:rPr>
        <w:t>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3312D"/>
    <w:rsid w:val="000917B9"/>
    <w:rsid w:val="000A5459"/>
    <w:rsid w:val="000C4C92"/>
    <w:rsid w:val="000D2A49"/>
    <w:rsid w:val="000E1E0F"/>
    <w:rsid w:val="000E61BB"/>
    <w:rsid w:val="001123A3"/>
    <w:rsid w:val="001308F7"/>
    <w:rsid w:val="001D2E61"/>
    <w:rsid w:val="001E555F"/>
    <w:rsid w:val="00290D32"/>
    <w:rsid w:val="002C025D"/>
    <w:rsid w:val="002C3000"/>
    <w:rsid w:val="002E13E2"/>
    <w:rsid w:val="002F6361"/>
    <w:rsid w:val="003004CE"/>
    <w:rsid w:val="00337089"/>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6C4BD9"/>
    <w:rsid w:val="00723BD5"/>
    <w:rsid w:val="00730ACC"/>
    <w:rsid w:val="00735841"/>
    <w:rsid w:val="00754610"/>
    <w:rsid w:val="0076175C"/>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6A7B"/>
    <w:rsid w:val="00A57CA4"/>
    <w:rsid w:val="00AA747A"/>
    <w:rsid w:val="00AC7BC9"/>
    <w:rsid w:val="00B0240E"/>
    <w:rsid w:val="00B15D96"/>
    <w:rsid w:val="00B31E84"/>
    <w:rsid w:val="00B9435F"/>
    <w:rsid w:val="00BC2466"/>
    <w:rsid w:val="00BC4671"/>
    <w:rsid w:val="00BD7AE1"/>
    <w:rsid w:val="00BE0B46"/>
    <w:rsid w:val="00C603F7"/>
    <w:rsid w:val="00C679F8"/>
    <w:rsid w:val="00CA02BD"/>
    <w:rsid w:val="00CB4C46"/>
    <w:rsid w:val="00CC5669"/>
    <w:rsid w:val="00CD01A8"/>
    <w:rsid w:val="00D029EA"/>
    <w:rsid w:val="00D11792"/>
    <w:rsid w:val="00D15169"/>
    <w:rsid w:val="00D56773"/>
    <w:rsid w:val="00D83072"/>
    <w:rsid w:val="00D92776"/>
    <w:rsid w:val="00DF07FD"/>
    <w:rsid w:val="00DF7D69"/>
    <w:rsid w:val="00E149FA"/>
    <w:rsid w:val="00E21E2B"/>
    <w:rsid w:val="00E40DDC"/>
    <w:rsid w:val="00E44CB1"/>
    <w:rsid w:val="00E73B49"/>
    <w:rsid w:val="00E815CB"/>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5F03A3"/>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3F6BBC"/>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73111F"/>
    <w:rsid w:val="3F800236"/>
    <w:rsid w:val="3F8C783C"/>
    <w:rsid w:val="40DC5AC3"/>
    <w:rsid w:val="40F66CF8"/>
    <w:rsid w:val="40FE47B4"/>
    <w:rsid w:val="41B857FD"/>
    <w:rsid w:val="4361706F"/>
    <w:rsid w:val="43CA1521"/>
    <w:rsid w:val="444B0E8A"/>
    <w:rsid w:val="47A250A3"/>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0A2B68"/>
    <w:rsid w:val="61152047"/>
    <w:rsid w:val="620467BA"/>
    <w:rsid w:val="622D2BEC"/>
    <w:rsid w:val="62F60DE0"/>
    <w:rsid w:val="63DD0DD3"/>
    <w:rsid w:val="641F5EE8"/>
    <w:rsid w:val="649C0E8F"/>
    <w:rsid w:val="64E941FF"/>
    <w:rsid w:val="65532802"/>
    <w:rsid w:val="65BF6566"/>
    <w:rsid w:val="665D25F4"/>
    <w:rsid w:val="674048E2"/>
    <w:rsid w:val="68715924"/>
    <w:rsid w:val="6A403C00"/>
    <w:rsid w:val="6B4C7D1B"/>
    <w:rsid w:val="6C267EB4"/>
    <w:rsid w:val="6D1363D3"/>
    <w:rsid w:val="6D614426"/>
    <w:rsid w:val="6DA577A5"/>
    <w:rsid w:val="6DB87D30"/>
    <w:rsid w:val="6E804287"/>
    <w:rsid w:val="712B5699"/>
    <w:rsid w:val="716D2E73"/>
    <w:rsid w:val="746D1278"/>
    <w:rsid w:val="762C29D0"/>
    <w:rsid w:val="768B656C"/>
    <w:rsid w:val="76975133"/>
    <w:rsid w:val="769B60FD"/>
    <w:rsid w:val="76C10F77"/>
    <w:rsid w:val="77D8678E"/>
    <w:rsid w:val="7814798C"/>
    <w:rsid w:val="7819740D"/>
    <w:rsid w:val="78ED2B64"/>
    <w:rsid w:val="7A224A32"/>
    <w:rsid w:val="7A4B0114"/>
    <w:rsid w:val="7A6D55E9"/>
    <w:rsid w:val="7ABD49CD"/>
    <w:rsid w:val="7C0E15E2"/>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qFormat/>
    <w:uiPriority w:val="99"/>
    <w:rPr>
      <w:sz w:val="18"/>
      <w:szCs w:val="18"/>
    </w:rPr>
  </w:style>
  <w:style w:type="character" w:customStyle="1" w:styleId="18">
    <w:name w:val="页脚 字符"/>
    <w:basedOn w:val="15"/>
    <w:link w:val="11"/>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9</Pages>
  <Words>3328</Words>
  <Characters>3356</Characters>
  <Lines>25</Lines>
  <Paragraphs>7</Paragraphs>
  <TotalTime>1</TotalTime>
  <ScaleCrop>false</ScaleCrop>
  <LinksUpToDate>false</LinksUpToDate>
  <CharactersWithSpaces>3403</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2022-04-19T06:28:00Z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0488B12C70804B548BA6C07F05C0DC44</vt:lpwstr>
  </property>
</Properties>
</file>