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放射性药品管理办法</w:t>
      </w:r>
    </w:p>
    <w:p>
      <w:pPr>
        <w:pStyle w:val="10"/>
        <w:ind w:firstLine="640" w:firstLineChars="200"/>
        <w:jc w:val="center"/>
        <w:rPr>
          <w:rFonts w:ascii="Times New Roman" w:hAnsi="Times New Roman" w:cs="Times New Roman"/>
          <w:sz w:val="32"/>
          <w:szCs w:val="32"/>
        </w:rPr>
      </w:pPr>
    </w:p>
    <w:p>
      <w:pPr>
        <w:pStyle w:val="10"/>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(1989年1月13日中华人民共和国国务院令第25号发布　根据2011年1月8日《国务院关于废止和修改部分行政法规的决定》第一次修订　根据2017年3月1日《国务院关于修改和废止部分行政法规的决定》第二次修订</w:t>
      </w:r>
      <w:r>
        <w:rPr>
          <w:rFonts w:hint="eastAsia" w:ascii="楷体_GB2312" w:hAnsi="楷体_GB2312" w:eastAsia="楷体_GB2312" w:cs="楷体_GB2312"/>
          <w:sz w:val="32"/>
          <w:szCs w:val="32"/>
          <w:lang w:val="en-US" w:eastAsia="zh-CN"/>
        </w:rPr>
        <w:t>　</w:t>
      </w:r>
      <w:r>
        <w:rPr>
          <w:rFonts w:hint="eastAsia" w:ascii="楷体_GB2312" w:hAnsi="楷体_GB2312" w:eastAsia="楷体_GB2312" w:cs="楷体_GB2312"/>
          <w:sz w:val="32"/>
          <w:szCs w:val="32"/>
        </w:rPr>
        <w:t>根据2022年3月29日《国务院关于修改和废止部分行政法规的决定》第三次修订)</w:t>
      </w:r>
    </w:p>
    <w:p>
      <w:pPr>
        <w:pStyle w:val="3"/>
      </w:pPr>
      <w:r>
        <w:rPr>
          <w:rFonts w:ascii="Times New Roman" w:hAnsi="Times New Roman" w:cs="Times New Roman"/>
        </w:rPr>
        <w:t>第一章　总</w:t>
      </w:r>
      <w:r>
        <w:rPr>
          <w:rFonts w:hint="eastAsia" w:ascii="Times New Roman" w:hAnsi="Times New Roman" w:cs="Times New Roman"/>
          <w:lang w:eastAsia="zh-CN"/>
        </w:rPr>
        <w:t>　　</w:t>
      </w:r>
      <w:r>
        <w:rPr>
          <w:rFonts w:ascii="Times New Roman" w:hAnsi="Times New Roman" w:cs="Times New Roman"/>
        </w:rPr>
        <w:t>则</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为了加强放射</w:t>
      </w:r>
      <w:r>
        <w:rPr>
          <w:rFonts w:hint="eastAsia" w:ascii="仿宋_GB2312" w:hAnsi="仿宋_GB2312" w:eastAsia="仿宋_GB2312" w:cs="仿宋_GB2312"/>
          <w:sz w:val="32"/>
          <w:szCs w:val="32"/>
        </w:rPr>
        <w:t>性药品的管理，根据《中华人民共和国药品管理法</w:t>
      </w:r>
      <w:r>
        <w:rPr>
          <w:rFonts w:hint="eastAsia" w:ascii="仿宋_GB2312" w:hAnsi="仿宋_GB2312" w:eastAsia="仿宋_GB2312" w:cs="仿宋_GB2312"/>
          <w:sz w:val="32"/>
          <w:szCs w:val="32"/>
        </w:rPr>
        <w:t>》(以下称《药品管理法》)的规定，制定</w:t>
      </w:r>
      <w:r>
        <w:rPr>
          <w:rFonts w:ascii="Times New Roman" w:hAnsi="Times New Roman" w:eastAsia="仿宋_GB2312" w:cs="Times New Roman"/>
          <w:sz w:val="32"/>
          <w:szCs w:val="32"/>
        </w:rPr>
        <w:t>本办法。</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放射性药品是指用于临床诊断或者治疗的放射性核素制剂或者其标记药物。</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凡在中华人民共和国领域内进行放射性药品的研究、生产、经营、运输、使用、检验、监督管理的单位和个人都必须遵守本办法。</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国务院药品监督管理部门负责全国放射性药品监督管理工作。国务院国防科技工业主管部门依据职责负责与放射性药品有关的管理工作。国务院环境保护主管部门负责与放射性药品有关的辐射安全与防护的监督管理工作。</w:t>
      </w:r>
    </w:p>
    <w:p>
      <w:pPr>
        <w:pStyle w:val="3"/>
        <w:rPr>
          <w:rFonts w:ascii="Times New Roman" w:hAnsi="Times New Roman" w:eastAsia="仿宋_GB2312" w:cs="Times New Roman"/>
        </w:rPr>
      </w:pPr>
      <w:r>
        <w:t>第二章　放射性新药的研制、临床研究和审批</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放射性新药的研制内容，包括工艺路线、质量标准、临床前药理及临床研究。研制单位在制订新药工艺路线的同时，必须研究该药的理化性能</w:t>
      </w:r>
      <w:r>
        <w:rPr>
          <w:rFonts w:hint="eastAsia" w:ascii="仿宋_GB2312" w:hAnsi="仿宋_GB2312" w:eastAsia="仿宋_GB2312" w:cs="仿宋_GB2312"/>
          <w:sz w:val="32"/>
          <w:szCs w:val="32"/>
        </w:rPr>
        <w:t>、纯度(包括核素纯度)及检验</w:t>
      </w:r>
      <w:r>
        <w:rPr>
          <w:rFonts w:ascii="Times New Roman" w:hAnsi="Times New Roman" w:eastAsia="仿宋_GB2312" w:cs="Times New Roman"/>
          <w:sz w:val="32"/>
          <w:szCs w:val="32"/>
        </w:rPr>
        <w:t>方法、药理、毒理、动物药代动力学、放射性比活度、剂量、剂型、稳定性等。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研制单位对放射免疫分析药盒必须进行可测限度、范围、特异性、准确度、精密度、稳定性等方法学的研究。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放射性新药的分类，按国务院药品监督管理部门有关药品注册的规定办理。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研制单位研制的放射性新药，在进行临床试验或者验证前，应当向国务院药品监督管理部门提出申请，按规定报送资料及样品，经国务院药品监督管理部门审批同意后，在国务院药品监督管理部门指定的药物临床试验机构进行临床研究。</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研制单位在放射性新药临床研究结束后，向国务院药品监督管理部门提出申请，经国务院药品监督管理部门审核批准，发给新药证书。国务院药品监督管理部门在审核批准时，应当征求国务院国防科技工业主管部门的意见。</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放射性新药投</w:t>
      </w:r>
      <w:r>
        <w:rPr>
          <w:rFonts w:hint="eastAsia" w:ascii="仿宋_GB2312" w:hAnsi="仿宋_GB2312" w:eastAsia="仿宋_GB2312" w:cs="仿宋_GB2312"/>
          <w:sz w:val="32"/>
          <w:szCs w:val="32"/>
        </w:rPr>
        <w:t>入生产，需由生产单位或者取得放射性药品生产许可证的研制单位，凭新药证书(副本)向国务院药品监督管理部门提出生产该药的申请，并提供样品，由国务</w:t>
      </w:r>
      <w:r>
        <w:rPr>
          <w:rFonts w:ascii="Times New Roman" w:hAnsi="Times New Roman" w:eastAsia="仿宋_GB2312" w:cs="Times New Roman"/>
          <w:sz w:val="32"/>
          <w:szCs w:val="32"/>
        </w:rPr>
        <w:t>院药品监督管理部门审核发给批准文号。</w:t>
      </w:r>
    </w:p>
    <w:p>
      <w:pPr>
        <w:pStyle w:val="3"/>
        <w:rPr>
          <w:rFonts w:ascii="Times New Roman" w:hAnsi="Times New Roman" w:eastAsia="仿宋_GB2312" w:cs="Times New Roman"/>
        </w:rPr>
      </w:pPr>
      <w:r>
        <w:t>第三章　放射性药品的生产、经营和进出口</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国家根据需要，对放射性药品的生产企业实行合理布局。</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hint="eastAsia" w:ascii="Times New Roman" w:hAnsi="Times New Roman" w:eastAsia="仿宋_GB2312" w:cs="Times New Roman"/>
          <w:sz w:val="32"/>
          <w:szCs w:val="32"/>
        </w:rPr>
        <w:t>开办放射性药</w:t>
      </w:r>
      <w:r>
        <w:rPr>
          <w:rFonts w:hint="eastAsia" w:ascii="仿宋_GB2312" w:hAnsi="仿宋_GB2312" w:eastAsia="仿宋_GB2312" w:cs="仿宋_GB2312"/>
          <w:sz w:val="32"/>
          <w:szCs w:val="32"/>
        </w:rPr>
        <w:t>品生产、经营企业，必须具备《药品管理法》规定的条件，符合国家有关放射性同位素安全和防护的规定与标准，并履行环境影响评价文件的审批手续；开办放射性药品生产企业，经所在省、自治区、直辖市国防科技工业主管部门审查同意，所在省、自治区、直辖市药品监督管理部门审核批准后，由所在省、自治区、直辖市药品监督管理部门发给《放射性药品生产企业许可证》；开办放射性药品经营企业，经所在省、</w:t>
      </w:r>
      <w:r>
        <w:rPr>
          <w:rFonts w:hint="eastAsia" w:ascii="Times New Roman" w:hAnsi="Times New Roman" w:eastAsia="仿宋_GB2312" w:cs="Times New Roman"/>
          <w:sz w:val="32"/>
          <w:szCs w:val="32"/>
        </w:rPr>
        <w:t>自治区、直辖市药品监督管理部门审核并征求所在省、自治区、直辖市国防科技工业主管部门意见后批准的，由所在省、自治区、直辖市药品监督管理部门发给《放射性药品经营企业许可证》。无许可证的生产、经营企业，一律不准生产、销售放射性药品</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《放射性药品生产企业许可证》、《放射性药品经营企业许可证》</w:t>
      </w:r>
      <w:r>
        <w:rPr>
          <w:rFonts w:hint="eastAsia" w:ascii="仿宋_GB2312" w:hAnsi="仿宋_GB2312" w:eastAsia="仿宋_GB2312" w:cs="仿宋_GB2312"/>
          <w:sz w:val="32"/>
          <w:szCs w:val="32"/>
        </w:rPr>
        <w:t>的有效期为5年，期满前6个月，放射</w:t>
      </w:r>
      <w:r>
        <w:rPr>
          <w:rFonts w:ascii="Times New Roman" w:hAnsi="Times New Roman" w:eastAsia="仿宋_GB2312" w:cs="Times New Roman"/>
          <w:sz w:val="32"/>
          <w:szCs w:val="32"/>
        </w:rPr>
        <w:t>性药品生产、经营企业应当分别向原发证的药品监督管理部门重新提出申请，按第十条审批程序批准后，换发新证。</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放射性药品生产企业生产已有国家标准的放射性药品，必须经国务院药品监督管理部门征求国务院国防科技工业主管部门意见后审核批准，并发给批准文号。凡是改变国务院药品监督管理部门已批准的生产工艺路线和药品标准的，生产单位必须按原报批程序提出补充申请，经国务院药品监督管理部门批准后方能生产。</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放射性药品生产、经营企业，必须配备与生产、经营放射性药品相适应的专业技术人员，具有安全、防护和废气、废物、废水处理等设施，并建立严格的质量管理制度。</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放射性药品生产、经营企业，必须建立质量检验机构，严格实行生产全过程的质量控制和检验。产品出厂前，须经质量检验。符合国家药品标准的产品方可出厂，不符合标准的产品一律不准出厂。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国务院药品监督管理部门审核批准的含有短半衰期放射性核素的药品，可以边检验边出厂，但发现质量不符合国家药品标准时，该药品的生产企业应当立即停止生产、销售，并立即通知使用单位停止使用，同时报告国务院药品监督管理、卫生行政、国防科技工业主管部门。</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放射性药品</w:t>
      </w:r>
      <w:r>
        <w:rPr>
          <w:rFonts w:hint="eastAsia" w:ascii="仿宋_GB2312" w:hAnsi="仿宋_GB2312" w:eastAsia="仿宋_GB2312" w:cs="仿宋_GB2312"/>
          <w:sz w:val="32"/>
          <w:szCs w:val="32"/>
        </w:rPr>
        <w:t>的生产、经营单位和医疗单位凭省、自治区、直辖市药品监督管理部门发给的《放射性药品生产企业许可证》、《放射性药品经营企业许可证》，医疗单位凭省、自治区、直辖市药品监督管理部门发给的《放射性药品使</w:t>
      </w:r>
      <w:r>
        <w:rPr>
          <w:rFonts w:ascii="Times New Roman" w:hAnsi="Times New Roman" w:eastAsia="仿宋_GB2312" w:cs="Times New Roman"/>
          <w:sz w:val="32"/>
          <w:szCs w:val="32"/>
        </w:rPr>
        <w:t>用许可证》，开展放射性药品的购销活动。</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进口的放射性药品品种，必须符合我国的药品标准或者其他药用要求，</w:t>
      </w:r>
      <w:r>
        <w:rPr>
          <w:rFonts w:hint="eastAsia" w:ascii="仿宋_GB2312" w:hAnsi="仿宋_GB2312" w:eastAsia="仿宋_GB2312" w:cs="仿宋_GB2312"/>
          <w:sz w:val="32"/>
          <w:szCs w:val="32"/>
        </w:rPr>
        <w:t>并依照《药品管理法》的规定取得进口药品注册证书。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进出口放射性药品，应当按照国家有关对外贸易、放射性同位素安全和防护的规定，办理进出口手续。</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进口放射性药品，必须经国务院药品监督管理部门指定的药品检验机构抽样检验；检验合格的，方准进口。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经国务院药品监督管理部门审核批准的含有短半衰期放射性核素的药品，在保证安全使用的情况下，可以采取边进口检验，边投入使用的办法。进口检验单位发现药品质量不符合要求时，应当立即通知使用单位停止使用，并报告国务院药品监督管理、卫生行政、国防科技工业主管部门。</w:t>
      </w:r>
    </w:p>
    <w:p>
      <w:pPr>
        <w:pStyle w:val="3"/>
      </w:pPr>
      <w:r>
        <w:t>第四章　放射性药品的包装和运输</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放射性药品的包装必须安全实用，符合放射性药品质量要求，具有与放射性剂量相适应的防护装置。包装必须分内包装和外包装两部分，外包装必须贴有商标、标签、说明书和放射性药品标志，内包装必须贴有标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标签必须注明药品品名、放射性比活度、装量。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说明书除注明前款内容外，还须注明生产单位、批准文号、批号、主要成份、出厂日期、放射性核素半衰期、适应症、用法、用量、禁忌症、有效期和注意事项等。</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放射性药品的运输，按国家运输、邮政等部门制订的有关规定执行。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严禁任何单位和个人随身携带放射性药品乘坐公共交通运输工具。</w:t>
      </w:r>
    </w:p>
    <w:p>
      <w:pPr>
        <w:pStyle w:val="3"/>
      </w:pPr>
      <w:r>
        <w:t>第五章　放射性药品的使用</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医疗单位设置核医</w:t>
      </w:r>
      <w:r>
        <w:rPr>
          <w:rFonts w:hint="eastAsia" w:ascii="仿宋_GB2312" w:hAnsi="仿宋_GB2312" w:eastAsia="仿宋_GB2312" w:cs="仿宋_GB2312"/>
          <w:sz w:val="32"/>
          <w:szCs w:val="32"/>
        </w:rPr>
        <w:t>学科、室(同位素室)，必须配</w:t>
      </w:r>
      <w:r>
        <w:rPr>
          <w:rFonts w:ascii="Times New Roman" w:hAnsi="Times New Roman" w:eastAsia="仿宋_GB2312" w:cs="Times New Roman"/>
          <w:sz w:val="32"/>
          <w:szCs w:val="32"/>
        </w:rPr>
        <w:t>备与其医疗任务相适应的并经核医学技术培训的技术人员。非核医学专业技术人员未经培训，不得从事放射性药品使用工作。</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医疗单位使用放射性药品，必须符合国家有关放射性同位素安全和防护的规定。所在地的省、自治区、直辖市药品监督管理部门，应当根据医疗单位核医疗技术人员的水平、设备条件，核发相应等级的《</w:t>
      </w:r>
      <w:r>
        <w:rPr>
          <w:rFonts w:hint="eastAsia" w:ascii="仿宋_GB2312" w:hAnsi="仿宋_GB2312" w:eastAsia="仿宋_GB2312" w:cs="仿宋_GB2312"/>
          <w:sz w:val="32"/>
          <w:szCs w:val="32"/>
        </w:rPr>
        <w:t>放射性药品使用许可证》，无许可证的医疗单位不得临床使用放射性药品。</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《放射性药品使用许可证》有效期为5年，期满前6个月，医疗单位应当向原发证的行政部门重新提出申请，经审核批</w:t>
      </w:r>
      <w:r>
        <w:rPr>
          <w:rFonts w:ascii="Times New Roman" w:hAnsi="Times New Roman" w:eastAsia="仿宋_GB2312" w:cs="Times New Roman"/>
          <w:sz w:val="32"/>
          <w:szCs w:val="32"/>
        </w:rPr>
        <w:t>准后，换发新证。</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医疗单位配制、使用放射性制剂，应当符合《药品管理法》及其实施条例的相关规定。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持有</w:t>
      </w:r>
      <w:r>
        <w:rPr>
          <w:rFonts w:hint="eastAsia" w:ascii="仿宋_GB2312" w:hAnsi="仿宋_GB2312" w:eastAsia="仿宋_GB2312" w:cs="仿宋_GB2312"/>
          <w:sz w:val="32"/>
          <w:szCs w:val="32"/>
        </w:rPr>
        <w:t>《放射性药品使用许可证》的医疗单位，必须负责对使用的放射性药品进行临床质量检验，收集药品不良反应等项工作，并定期向所在地药品监督管理、卫生行政部门报告。由省、自治区、直辖市药品监督管理、卫生行政部门汇总</w:t>
      </w:r>
      <w:r>
        <w:rPr>
          <w:rFonts w:ascii="Times New Roman" w:hAnsi="Times New Roman" w:eastAsia="仿宋_GB2312" w:cs="Times New Roman"/>
          <w:sz w:val="32"/>
          <w:szCs w:val="32"/>
        </w:rPr>
        <w:t>后分别报国务院药品监督管理、卫生行政部门。</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放射性药品使用</w:t>
      </w:r>
      <w:r>
        <w:rPr>
          <w:rFonts w:hint="eastAsia" w:ascii="仿宋_GB2312" w:hAnsi="仿宋_GB2312" w:eastAsia="仿宋_GB2312" w:cs="仿宋_GB2312"/>
          <w:sz w:val="32"/>
          <w:szCs w:val="32"/>
        </w:rPr>
        <w:t>后的废物(包括患者排出物)，</w:t>
      </w:r>
      <w:r>
        <w:rPr>
          <w:rFonts w:ascii="Times New Roman" w:hAnsi="Times New Roman" w:eastAsia="仿宋_GB2312" w:cs="Times New Roman"/>
          <w:sz w:val="32"/>
          <w:szCs w:val="32"/>
        </w:rPr>
        <w:t>必须按国家有关规定妥善处置。</w:t>
      </w:r>
    </w:p>
    <w:p>
      <w:pPr>
        <w:pStyle w:val="3"/>
      </w:pPr>
      <w:r>
        <w:t>第六章　放射性药品标准和检验</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放射性药品的国家标准，由国务院药品监督管理部门药典委员会负责制定和修订，报国务院药品监督管理部门审批颁发。</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放射性药品的检验由国务院药品监督管理部门公布的药品检验机构承担。</w:t>
      </w:r>
    </w:p>
    <w:p>
      <w:pPr>
        <w:pStyle w:val="3"/>
      </w:pPr>
      <w:r>
        <w:t>第七章　附</w:t>
      </w:r>
      <w:r>
        <w:rPr>
          <w:rFonts w:hint="eastAsia"/>
          <w:lang w:eastAsia="zh-CN"/>
        </w:rPr>
        <w:t>　　</w:t>
      </w:r>
      <w:r>
        <w:t>则</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对违反本办法规</w:t>
      </w:r>
      <w:bookmarkStart w:id="0" w:name="_GoBack"/>
      <w:r>
        <w:rPr>
          <w:rFonts w:hint="eastAsia" w:ascii="仿宋_GB2312" w:hAnsi="仿宋_GB2312" w:eastAsia="仿宋_GB2312" w:cs="仿宋_GB2312"/>
          <w:sz w:val="32"/>
          <w:szCs w:val="32"/>
        </w:rPr>
        <w:t>定的单位或者个人，由县以上药品监督管理、卫生行政部门，按照《药品管理法》和有关</w:t>
      </w:r>
      <w:bookmarkEnd w:id="0"/>
      <w:r>
        <w:rPr>
          <w:rFonts w:ascii="Times New Roman" w:hAnsi="Times New Roman" w:eastAsia="仿宋_GB2312" w:cs="Times New Roman"/>
          <w:sz w:val="32"/>
          <w:szCs w:val="32"/>
        </w:rPr>
        <w:t>法规的规定处罚。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本办法自发布之日起施行。</w:t>
      </w:r>
    </w:p>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3BD7"/>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7095E"/>
    <w:rsid w:val="009D67A7"/>
    <w:rsid w:val="00A06F17"/>
    <w:rsid w:val="00A10F4E"/>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0D16"/>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35EE1"/>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0E3F7B00"/>
    <w:rsid w:val="0FB8083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FD764D6"/>
    <w:rsid w:val="1FE16FBA"/>
    <w:rsid w:val="2037230C"/>
    <w:rsid w:val="2096095A"/>
    <w:rsid w:val="20D86240"/>
    <w:rsid w:val="21CE0F2E"/>
    <w:rsid w:val="221D0BEA"/>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63E7CBB"/>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10E6A"/>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2242E9"/>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3A735C"/>
    <w:rsid w:val="5E900D37"/>
    <w:rsid w:val="5E971322"/>
    <w:rsid w:val="5F5011B7"/>
    <w:rsid w:val="5F88093C"/>
    <w:rsid w:val="5FDB251D"/>
    <w:rsid w:val="60492E1B"/>
    <w:rsid w:val="60FB7125"/>
    <w:rsid w:val="61152047"/>
    <w:rsid w:val="620467BA"/>
    <w:rsid w:val="622D2BEC"/>
    <w:rsid w:val="62F60DE0"/>
    <w:rsid w:val="63740607"/>
    <w:rsid w:val="63DD0DD3"/>
    <w:rsid w:val="63DE7402"/>
    <w:rsid w:val="641F5EE8"/>
    <w:rsid w:val="642517C4"/>
    <w:rsid w:val="649C0E8F"/>
    <w:rsid w:val="65152017"/>
    <w:rsid w:val="652E7954"/>
    <w:rsid w:val="65532802"/>
    <w:rsid w:val="65BF6566"/>
    <w:rsid w:val="665D25F4"/>
    <w:rsid w:val="66E50FB1"/>
    <w:rsid w:val="674048E2"/>
    <w:rsid w:val="67D71794"/>
    <w:rsid w:val="68426F20"/>
    <w:rsid w:val="68715924"/>
    <w:rsid w:val="694935FA"/>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字符"/>
    <w:basedOn w:val="17"/>
    <w:link w:val="10"/>
    <w:qFormat/>
    <w:uiPriority w:val="99"/>
    <w:rPr>
      <w:rFonts w:ascii="宋体" w:hAnsi="Courier New" w:eastAsia="宋体" w:cs="Courier New"/>
      <w:szCs w:val="21"/>
    </w:rPr>
  </w:style>
  <w:style w:type="character" w:customStyle="1" w:styleId="20">
    <w:name w:val="页眉 字符"/>
    <w:basedOn w:val="17"/>
    <w:link w:val="12"/>
    <w:semiHidden/>
    <w:qFormat/>
    <w:uiPriority w:val="99"/>
    <w:rPr>
      <w:sz w:val="18"/>
      <w:szCs w:val="18"/>
    </w:rPr>
  </w:style>
  <w:style w:type="character" w:customStyle="1" w:styleId="21">
    <w:name w:val="页脚 字符"/>
    <w:basedOn w:val="17"/>
    <w:link w:val="11"/>
    <w:semiHidden/>
    <w:qFormat/>
    <w:uiPriority w:val="99"/>
    <w:rPr>
      <w:sz w:val="18"/>
      <w:szCs w:val="18"/>
    </w:rPr>
  </w:style>
  <w:style w:type="character" w:customStyle="1" w:styleId="22">
    <w:name w:val="标题 1 字符"/>
    <w:basedOn w:val="17"/>
    <w:link w:val="2"/>
    <w:qFormat/>
    <w:uiPriority w:val="9"/>
    <w:rPr>
      <w:rFonts w:eastAsia="黑体" w:asciiTheme="minorHAnsi" w:hAnsiTheme="minorHAnsi"/>
      <w:bCs/>
      <w:kern w:val="44"/>
      <w:sz w:val="32"/>
      <w:szCs w:val="44"/>
    </w:rPr>
  </w:style>
  <w:style w:type="character" w:customStyle="1" w:styleId="23">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4">
    <w:name w:val="标题 3 字符"/>
    <w:basedOn w:val="17"/>
    <w:link w:val="4"/>
    <w:semiHidden/>
    <w:qFormat/>
    <w:uiPriority w:val="9"/>
    <w:rPr>
      <w:rFonts w:eastAsia="方正楷体_GBK" w:asciiTheme="minorHAnsi" w:hAnsiTheme="minorHAnsi"/>
      <w:b/>
      <w:bCs/>
      <w:sz w:val="32"/>
      <w:szCs w:val="32"/>
    </w:rPr>
  </w:style>
  <w:style w:type="character" w:customStyle="1" w:styleId="25">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字符"/>
    <w:basedOn w:val="17"/>
    <w:link w:val="6"/>
    <w:semiHidden/>
    <w:qFormat/>
    <w:uiPriority w:val="9"/>
    <w:rPr>
      <w:b/>
      <w:bCs/>
      <w:sz w:val="28"/>
      <w:szCs w:val="28"/>
    </w:rPr>
  </w:style>
  <w:style w:type="character" w:customStyle="1" w:styleId="27">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字符"/>
    <w:basedOn w:val="17"/>
    <w:link w:val="8"/>
    <w:semiHidden/>
    <w:qFormat/>
    <w:uiPriority w:val="9"/>
    <w:rPr>
      <w:b/>
      <w:bCs/>
      <w:sz w:val="24"/>
      <w:szCs w:val="24"/>
    </w:rPr>
  </w:style>
  <w:style w:type="character" w:customStyle="1" w:styleId="29">
    <w:name w:val="标题 8 字符"/>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8</Pages>
  <Words>3151</Words>
  <Characters>3167</Characters>
  <Lines>23</Lines>
  <Paragraphs>6</Paragraphs>
  <TotalTime>2</TotalTime>
  <ScaleCrop>false</ScaleCrop>
  <LinksUpToDate>false</LinksUpToDate>
  <CharactersWithSpaces>3209</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2022-04-11T07:31:17Z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3C1FCDA47BD7481A8523CF992A76BC64</vt:lpwstr>
  </property>
</Properties>
</file>