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6"/>
        <w:keepNext w:val="0"/>
        <w:keepLines w:val="0"/>
        <w:widowControl/>
        <w:suppressLineNumbers w:val="0"/>
        <w:wordWrap w:val="0"/>
        <w:spacing w:after="225" w:afterAutospacing="0" w:line="495" w:lineRule="atLeast"/>
        <w:jc w:val="center"/>
      </w:pPr>
      <w:r>
        <w:rPr>
          <w:rFonts w:hint="eastAsia" w:asciiTheme="majorEastAsia" w:hAnsiTheme="majorEastAsia" w:eastAsiaTheme="majorEastAsia" w:cstheme="majorEastAsia"/>
          <w:color w:val="333333"/>
          <w:sz w:val="44"/>
          <w:szCs w:val="44"/>
          <w:bdr w:val="none" w:color="auto" w:sz="0" w:space="0"/>
          <w:shd w:val="clear" w:fill="FFFFFF"/>
        </w:rPr>
        <w:t>关键信息基础设施安全保护条例</w:t>
      </w:r>
    </w:p>
    <w:p>
      <w:pPr>
        <w:pStyle w:val="16"/>
        <w:keepNext w:val="0"/>
        <w:keepLines w:val="0"/>
        <w:widowControl/>
        <w:suppressLineNumbers w:val="0"/>
        <w:shd w:val="clear" w:fill="FFFFFF"/>
        <w:wordWrap w:val="0"/>
        <w:spacing w:before="210" w:beforeAutospacing="0" w:after="210" w:afterAutospacing="0" w:line="450" w:lineRule="atLeast"/>
        <w:ind w:left="0" w:right="0" w:firstLine="645"/>
      </w:pPr>
      <w:r>
        <w:rPr>
          <w:rFonts w:ascii="楷体_GB2312" w:hAnsi="宋体" w:eastAsia="楷体_GB2312" w:cs="楷体_GB2312"/>
          <w:color w:val="4A4A4A"/>
          <w:sz w:val="32"/>
          <w:szCs w:val="32"/>
          <w:shd w:val="clear" w:fill="FFFFFF"/>
        </w:rPr>
        <w:t>(2</w:t>
      </w:r>
      <w:r>
        <w:rPr>
          <w:rFonts w:hint="eastAsia" w:ascii="楷体_GB2312" w:hAnsi="宋体" w:eastAsia="楷体_GB2312" w:cs="楷体_GB2312"/>
          <w:color w:val="333333"/>
          <w:sz w:val="32"/>
          <w:szCs w:val="32"/>
          <w:shd w:val="clear" w:fill="FFFFFF"/>
        </w:rPr>
        <w:t>021年4月27日国务院第133次常务会议通过　2021年7月30日中华人民共和国国务院令第745号公布　自2021年9月1日起施行</w:t>
      </w:r>
      <w:r>
        <w:rPr>
          <w:rFonts w:hint="eastAsia" w:ascii="楷体_GB2312" w:hAnsi="宋体" w:eastAsia="楷体_GB2312" w:cs="楷体_GB2312"/>
          <w:color w:val="4A4A4A"/>
          <w:sz w:val="32"/>
          <w:szCs w:val="32"/>
          <w:shd w:val="clear" w:fill="FFFFFF"/>
        </w:rPr>
        <w:t>)</w:t>
      </w:r>
    </w:p>
    <w:p>
      <w:pPr>
        <w:pStyle w:val="3"/>
        <w:bidi w:val="0"/>
        <w:rPr>
          <w:rFonts w:hint="eastAsia"/>
        </w:rPr>
      </w:pPr>
      <w:r>
        <w:rPr>
          <w:rFonts w:hint="eastAsia"/>
        </w:rPr>
        <w:t>第一章　总　　则</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为了保障关键信息基础设施安全，维护网络安全，根据《中华人民共和国网络安全法》，制定本条例。</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关键信息基础设施，是指公共通信和信息服务、能源、交通、水利、金融、公共服务、电子政务、国防科技工业等重要行业和领域的，以及其他一旦遭到破坏、丧失功能或者数据泄露，可能严重危害国家安全、国计民生、公共利益的重要网络设施、信息系统等。</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在国家网信部门统筹协调下，国务院公安部门负责指导监督关键信息基础设施安全保护工作。国务院电信主管部门和其他有关部门依照本条例和有关法律、行政法规的规定，在各自职责范围内负责关键信息基础设施安全保护和监督管理工作。</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省级人民政府有关部门依据各自职责对关键信息基础设施实施安全保护和监督管理。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关键信息基础设施安全保护坚持综合协调、分工负责、依法保护，强化和落实关键信息基础设施运营者（以下简称运营者）主体责任，充分发挥政府及社会各方面的作用，共同保护关键信息基础设施安全。</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家对关键信息基础设施实行重点保护，采取措施，监测、防御、处置来源于中华人民共和国境内外的网络安全风险和威胁，保护关键信息基础设施免受攻击、侵入、干扰和破坏，依法惩治危害关键信息基础设施安全的违法犯罪活动。</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任何个人和组织不得实施非法侵入、干扰、破坏关键信息基础设施的活动，不得危害关键信息基础设施安全。</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运营者依照本条例和有关法律、行政法规的规定以及国家标准的强制性要求，在网络安全等级保护的基础上，采取技术保护措施和其他必要措施，应对网络安全事件，防范网络攻击和违法犯罪活动，保障关键信息基础设施安全稳定运行，维护数据的完整性、保密性和可用性。</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对在关键信息基础设施安全保护工作中取得显著成绩或者作出突出贡献的单位和个人，按照国家有关规定给予表彰。</w:t>
      </w:r>
    </w:p>
    <w:p>
      <w:pPr>
        <w:pStyle w:val="3"/>
        <w:bidi w:val="0"/>
        <w:rPr>
          <w:rFonts w:hint="eastAsia"/>
        </w:rPr>
      </w:pPr>
      <w:r>
        <w:rPr>
          <w:rFonts w:hint="eastAsia"/>
        </w:rPr>
        <w:t>第二章　关键信息基础设施认定</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本条例第二条涉及的重要行业和领域的主管部门、监督管理部门是负责关键信息基础设施安全保护工作的部门（以下简称保护工作部门）。</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保护工作部门结合本行业、本领域实际，制定关键信息基础设施认定规则，并报国务院公安部门备案。</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制定认定规则应当主要考虑下列因素：</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（一）网络设施、信息系统等对于本行业、本领域关键核心业务的重要程度；</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（二）网络设施、信息系统等一旦遭到破坏、丧失功能或者数据泄露可能带来的危害程度；</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（三）对其他行业和领域的关联性影响。</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保护工作部门根据认定规则负责组织认定本行业、本领域的关键信息基础设施，及时将认定结果通知运营者，并通报国务院公安部门。</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关键信息基础设施发生较大变化，可能影响其认定结果的，运营者应当及时将相关情况报告保护工作部门。保护工作部门自收到报告之日起3个月内完成重新认定，将认定结果通知运营者，并通报国务院公安部门。</w:t>
      </w:r>
    </w:p>
    <w:p>
      <w:pPr>
        <w:pStyle w:val="3"/>
        <w:bidi w:val="0"/>
        <w:rPr>
          <w:rFonts w:hint="eastAsia"/>
        </w:rPr>
      </w:pPr>
      <w:r>
        <w:rPr>
          <w:rFonts w:hint="eastAsia"/>
        </w:rPr>
        <w:t>第三章　运营者责任义务</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安全保护措施应当与关键信息基础设施同步规划、同步建设、同步使用。</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运营者应当建立健全网络安全保护制度和责任制，保障人力、财力、物力投入。运营者的主要负责人对关键信息基础设施安全保护负总责，领导关键信息基础设施安全保护和重大网络安全事件处置工作，组织研究解决重大网络安全问题。</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运营者应当设置专门安全管理机构，并对专门安全管理机构负责人和关键岗位人员进行安全背景审查。审查时，公安机关、国家安全机关应当予以协助。</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专门安全管理机构具体负责本单位的关键信息基础设施安全保护工作，履行下列职责：</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（一）建立健全网络安全管理、评价考核制度，拟订关键信息基础设施安全保护计划；</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（二）组织推动网络安全防护能力建设，开展网络安全监测、检测和风险评估；</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（三）按照国家及行业网络安全事件应急预案，制定本单位应急预案，定期开展应急演练，处置网络安全事件；</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（四）认定网络安全关键岗位，组织开展网络安全工作考核，提出奖励和惩处建议；</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（五）组织网络安全教育、培训；</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（六）履行个人信息和数据安全保护责任，建立健全个人信息和数据安全保护制度；</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（七）对关键信息基础设施设计、建设、运行、维护等服务实施安全管理；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（八）按照规定报告网络安全事件和重要事项。</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运营者应当保障专门安全管理机构的运行经费、配备相应的人员，开展与网络安全和信息化有关的决策应当有专门安全管理机构人员参与。</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运营者应当自行或者委托网络安全服务机构对关键信息基础设施每年至少进行一次网络安全检测和风险评估，对发现的安全问题及时整改，并按照保护工作部门要求报送情况。</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关键信息基础设施发生重大网络安全事件或者发现重大网络安全威胁时，运营者应当按照有关规定向保护工作部门、公安机关报告。</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关键信息基础设施整体中断运行或者主要功能故障、国家基础信息以及其他重要数据泄露、较大规模个人信息泄露、造成较大经济损失、违法信息较大范围传播等特别重大网络安全事件或者发现特别重大网络安全威胁时，保护工作部门应当在收到报告后，及时向国家网信部门、国务院公安部门报告。</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运营者应当优先采购安全可信的网络产品和服务；采购网络产品和服务可能影响国家安全的，应当按照国家网络安全规定通过安全审查。</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运营者采购网络产品和服务，应当按照国家有关规定与网络产品和服务提供者签订安全保密协议，明确提供者的技术支持和安全保密义务与责任，并对义务与责任履行情况进行监督。</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运营者发生合并、分立、解散等情况，应当及时报告保护工作部门，并按照保护工作部门的要求对关键信息基础设施进行处置，确保安全。</w:t>
      </w:r>
    </w:p>
    <w:p>
      <w:pPr>
        <w:pStyle w:val="3"/>
        <w:bidi w:val="0"/>
        <w:rPr>
          <w:rFonts w:hint="eastAsia"/>
        </w:rPr>
      </w:pPr>
      <w:r>
        <w:rPr>
          <w:rFonts w:hint="eastAsia"/>
        </w:rPr>
        <w:t>第四章　保障和促进</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保护工作部门应当制定本行业、本领域关键信息基础设施安全规划，明确保护目标、基本要求、工作任务、具体措施。</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国家网信部门统筹协调有关部门建立网络安全信息共享机制，及时汇总、研判、共享、发布网络安全威胁、漏洞、事件等信息，促进有关部门、保护工作部门、运营者以及网络安全服务机构等之间的网络安全信息共享。</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保护工作部门应当建立健全本行业、本领域的关键信息基础设施网络安全监测预警制度，及时掌握本行业、本领域关键信息基础设施运行状况、安全态势，预警通报网络安全威胁和隐患，指导做好安全防范工作。</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保护工作部门应当按照国家网络安全事件应急预案的要求，建立健全本行业、本领域的网络安全事件应急预案，定期组织应急演练；指导运营者做好网络安全事件应对处置，并根据需要组织提供技术支持与协助。</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保护工作部门应当定期组织开展本行业、本领域关键信息基础设施网络安全检查检测，指导监督运营者及时整改安全隐患、完善安全措施。</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国家网信部门统筹协调国务院公安部门、保护工作部门对关键信息基础设施进行网络安全检查检测，提出改进措施。</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部门在开展关键信息基础设施网络安全检查时，应当加强协同配合、信息沟通，避免不必要的检查和交叉重复检查。检查工作不得收取费用，不得要求被检查单位购买指定品牌或者指定生产、销售单位的产品和服务。</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运营者对保护工作部门开展的关键信息基础设施网络安全检查检测工作，以及公安、国家安全、保密行政管理、密码管理等有关部门依法开展的关键信息基础设施网络安全检查工作应当予以配合。</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在关键信息基础设施安全保护工作中，国家网信部门和国务院电信主管部门、国务院公安部门等应当根据保护工作部门的需要，及时提供技术支持和协助。</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网信部门、公安机关、保护工作部门等有关部门，网络安全服务机构及其工作人员对于在关键信息基础设施安全保护工作中获取的信息，只能用于维护网络安全，并严格按照有关法律、行政法规的要求确保信息安全，不得泄露、出售或者非法向他人提供。</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未经国家网信部门、国务院公安部门批准或者保护工作部门、</w:t>
      </w:r>
      <w:bookmarkStart w:id="0" w:name="_GoBack"/>
      <w:bookmarkEnd w:id="0"/>
      <w:r>
        <w:rPr>
          <w:rFonts w:hint="eastAsia" w:ascii="仿宋_GB2312" w:hAnsi="仿宋_GB2312" w:eastAsia="仿宋_GB2312" w:cs="仿宋_GB2312"/>
          <w:sz w:val="32"/>
          <w:szCs w:val="32"/>
        </w:rPr>
        <w:t>运营者授权，任何个人和组织不得对关键信息基础设施实施漏洞探测、渗透性测试等可能影响或者危害关键信息基础设施安全的活动。对基础电信网络实施漏洞探测、渗透性测试等活动，应当事先向国务院电信主管部门报告。</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国家采取措施，优先保障能源、电信等关键信息基础设施安全运行。</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能源、电信行业应当采取措施，为其他行业和领域的关键信息基础设施安全运行提供重点保障。</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公安机关、国家安全机关依据各自职责依法加强关键信息基础设施安全保卫，防范打击针对和利用关键信息基础设施实施的违法犯罪活动。</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国家制定和完善关键信息基础设施安全标准，指导、规范关键信息基础设施安全保护工作。</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国家采取措施，鼓励网络安全专门人才从事关键信息基础设施安全保护工作；将运营者安全管理人员、安全技术人员培训纳入国家继续教育体系。</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国家支持关键信息基础设施安全防护技术创新和产业发展，组织力量实施关键信息基础设施安全技术攻关。</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国家加强网络安全服务机构建设和管理，制定管理要求并加强监督指导，不断提升服务机构能力水平，充分发挥其在关键信息基础设施安全保护中的作用。</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国家加强网络安全军民融合，军地协同保护关键信息基础设施安全。</w:t>
      </w:r>
    </w:p>
    <w:p>
      <w:pPr>
        <w:pStyle w:val="3"/>
        <w:bidi w:val="0"/>
        <w:rPr>
          <w:rFonts w:hint="eastAsia"/>
        </w:rPr>
      </w:pPr>
      <w:r>
        <w:rPr>
          <w:rFonts w:hint="eastAsia"/>
        </w:rPr>
        <w:t>第五章　法律责任</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运营者有下列情形之一的，由有关主管部门依据职责责令改正，给予警告；拒不改正或者导致危害网络安全等后果的，处10万元以上100万元以下罚款，对直接负责的主管人员处1万元以上10万元以下罚款：</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（一）在关键信息基础设施发生较大变化，可能影响其认定结果时未及时将相关情况报告保护工作部门的；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（二）安全保护措施未与关键信息基础设施同步规划、同步建设、同步使用的；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（三）未建立健全网络安全保护制度和责任制的；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（四）未设置专门安全管理机构的；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（五）未对专门安全管理机构负责人和关键岗位人员进行安全背景审查的；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（六）开展与网络安全和信息化有关的决策没有专门安全管理机构人员参与的；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（七）专门安全管理机构未履行本条例第十五条规定的职责的；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（八）未对关键信息基础设施每年至少进行一次网络安全检测和风险评估，未对发现的安全问题及时整改，或者未按照保护工作部门要求报送情况的；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（九）采购网络产品和服务，未按照国家有关规定与网络产品和服务提供者签订安全保密协议的；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（十）发生合并、分立、解散等情况，未及时报告保护工作部门，或者未按照保护工作部门的要求对关键信息基础设施进行处置的。</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运营者在关键信息基础设施发生重大网络安全事件或者发现重大网络安全威胁时，未按照有关规定向保护工作部门、公安机关报告的，由保护工作部门、公安机关依据职责责令改正，给予警告；拒不改正或者导致危害网络安全等后果的，处10万元以上100万元以下罚款，对直接负责的主管人员处1万元以上10万元以下罚款。</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运营者采购可能影响国家安全的网络产品和服务，未按照国家网络安全规定进行安全审查的，由国家网信部门等有关主管部门依据职责责令改正，处采购金额1倍以上10倍以下罚款，对直接负责的主管人员和其他直接责任人员处1万元以上10万元以下罚款。</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运营者对保护工作部门开展的关键信息基础设施网络安全检查检测工作，以及公安、国家安全、保密行政管理、密码管理等有关部门依法开展的关键信息基础设施网络安全检查工作不予配合的，由有关主管部门责令改正；拒不改正的，处5万元以上50万元以下罚款，对直接负责的主管人员和其他直接责任人员处1万元以上10万元以下罚款；情节严重的，依法追究相应法律责任。</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实施非法侵入、干扰、破坏关键信息基础设施，危害其安全的活动尚不构成犯罪的，依照《中华人民共和国网络安全法》有关规定，由公安机关没收违法所得，处5日以下拘留，可以并处5万元以上50万元以下罚款；情节较重的，处5日以上15日以下拘留，可以并处10万元以上100万元以下罚款。</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单位有前款行为的，由公安机关没收违法所得，处10万元以上100万元以下罚款，并对直接负责的主管人员和其他直接责任人员依照前款规定处罚。</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违反本条例第五条第二款和第三十一条规定，受到治安管理处罚的人员，5年内不得从事网络安全管理和网络运营关键岗位的工作；受到刑事处罚的人员，终身不得从事网络安全管理和网络运营关键岗位的工作。</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网信部门、公安机关、保护工作部门和其他有关部门及其工作人员未履行关键信息基础设施安全保护和监督管理职责或者玩忽职守、滥用职权、徇私舞弊的，依法对直接负责的主管人员和其他直接责任人员给予处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公安机关、保护工作部门和其他有关部门在开展关键信息基础设施网络安全检查工作中收取费用，或者要求被检查单位购买指定品牌或者指定生产、销售单位的产品和服务的，由其上级机关责令改正，退还收取的费用；情节严重的，依法对直接负责的主管人员和其他直接责任人员给予处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网信部门、公安机关、保护工作部门等有关部门、网络安全服务机构及其工作人员将在关键信息基础设施安全保护工作中获取的信息用于其他用途，或者泄露、出售、非法向他人提供的，依法对直接负责的主管人员和其他直接责任人员给予处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关键信息基础设施发生重大和特别重大网络安全事件，经调查确定为责任事故的，除应当查明运营者责任并依法予以追究外，还应查明相关网络安全服务机构及有关部门的责任，对有失职、渎职及其他违法行为的，依法追究责任。</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电子政务关键信息基础设施的运营者不履行本条例规定的网络安全保护义务的，依照《中华人民共和国网络安全法》有关规定予以处理。</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违反本条例规定，给他人造成损害的，依法承担民事责任。</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违反本条例规定，构成违反治安管理行为的，依法给予治安管理处罚；构成犯罪的，依法追究刑事责任。</w:t>
      </w:r>
    </w:p>
    <w:p>
      <w:pPr>
        <w:pStyle w:val="3"/>
        <w:bidi w:val="0"/>
        <w:rPr>
          <w:rFonts w:hint="eastAsia"/>
        </w:rPr>
      </w:pPr>
      <w:r>
        <w:rPr>
          <w:rFonts w:hint="eastAsia"/>
        </w:rPr>
        <w:t>第六章　附　　则</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存储、处理涉及国家秘密信息的关键信息基础设施的安全保护，还应当遵守保密法律、行政法规的规定。</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关键信息基础设施中的密码使用和管理，还应当遵守相关法律、行政法规的规定。</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本条例自2021年9月1日起施行。</w:t>
      </w:r>
    </w:p>
    <w:p>
      <w:pPr>
        <w:pStyle w:val="10"/>
        <w:keepNext w:val="0"/>
        <w:keepLines w:val="0"/>
        <w:pageBreakBefore w:val="0"/>
        <w:widowControl w:val="0"/>
        <w:kinsoku/>
        <w:wordWrap/>
        <w:overflowPunct/>
        <w:topLinePunct w:val="0"/>
        <w:autoSpaceDE/>
        <w:autoSpaceDN/>
        <w:bidi w:val="0"/>
        <w:adjustRightInd/>
        <w:snapToGrid/>
        <w:spacing w:before="0" w:beforeAutospacing="0" w:after="0"/>
        <w:ind w:firstLine="640" w:firstLineChars="200"/>
        <w:textAlignment w:val="auto"/>
        <w:rPr>
          <w:rFonts w:hint="eastAsia" w:ascii="仿宋_GB2312" w:hAnsi="仿宋_GB2312" w:eastAsia="仿宋_GB2312" w:cs="仿宋_GB2312"/>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5F"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创艺繁线体">
    <w:panose1 w:val="00000000000000000000"/>
    <w:charset w:val="00"/>
    <w:family w:val="auto"/>
    <w:pitch w:val="default"/>
    <w:sig w:usb0="00000000" w:usb1="00000000" w:usb2="00000000" w:usb3="00000000" w:csb0="00000000" w:csb1="00000000"/>
  </w:font>
  <w:font w:name="方正爱莎简体 Heavy">
    <w:panose1 w:val="02010A00010101010101"/>
    <w:charset w:val="86"/>
    <w:family w:val="auto"/>
    <w:pitch w:val="default"/>
    <w:sig w:usb0="A00002BF" w:usb1="184F6CFA" w:usb2="00000012" w:usb3="00000000" w:csb0="00040001" w:csb1="00000000"/>
  </w:font>
  <w:font w:name="方正黑体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495A7C"/>
    <w:rsid w:val="53BF5C69"/>
    <w:rsid w:val="53DA0A43"/>
    <w:rsid w:val="54031803"/>
    <w:rsid w:val="540377C7"/>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7"/>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8"/>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9"/>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0"/>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1"/>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2"/>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3"/>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4"/>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7"/>
    <w:unhideWhenUsed/>
    <w:qFormat/>
    <w:uiPriority w:val="99"/>
    <w:pPr>
      <w:spacing w:before="100" w:beforeAutospacing="1" w:after="120"/>
      <w:ind w:left="200" w:leftChars="200"/>
    </w:pPr>
    <w:rPr>
      <w:szCs w:val="21"/>
    </w:rPr>
  </w:style>
  <w:style w:type="paragraph" w:styleId="11">
    <w:name w:val="Plain Text"/>
    <w:basedOn w:val="1"/>
    <w:link w:val="24"/>
    <w:unhideWhenUsed/>
    <w:qFormat/>
    <w:uiPriority w:val="99"/>
    <w:rPr>
      <w:rFonts w:ascii="宋体" w:hAnsi="Courier New" w:cs="Courier New"/>
      <w:szCs w:val="21"/>
    </w:rPr>
  </w:style>
  <w:style w:type="paragraph" w:styleId="12">
    <w:name w:val="Balloon Text"/>
    <w:basedOn w:val="1"/>
    <w:link w:val="35"/>
    <w:semiHidden/>
    <w:unhideWhenUsed/>
    <w:qFormat/>
    <w:uiPriority w:val="99"/>
    <w:rPr>
      <w:rFonts w:asciiTheme="minorHAnsi" w:hAnsiTheme="minorHAnsi" w:eastAsiaTheme="minorEastAsia" w:cstheme="minorBidi"/>
      <w:sz w:val="18"/>
      <w:szCs w:val="18"/>
    </w:rPr>
  </w:style>
  <w:style w:type="paragraph" w:styleId="13">
    <w:name w:val="footer"/>
    <w:basedOn w:val="1"/>
    <w:link w:val="39"/>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8"/>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llowedHyperlink"/>
    <w:basedOn w:val="20"/>
    <w:semiHidden/>
    <w:unhideWhenUsed/>
    <w:uiPriority w:val="99"/>
    <w:rPr>
      <w:color w:val="4A4A4A"/>
      <w:u w:val="none"/>
      <w:bdr w:val="none" w:color="auto" w:sz="0" w:space="0"/>
    </w:rPr>
  </w:style>
  <w:style w:type="character" w:styleId="22">
    <w:name w:val="Hyperlink"/>
    <w:basedOn w:val="20"/>
    <w:semiHidden/>
    <w:unhideWhenUsed/>
    <w:uiPriority w:val="99"/>
    <w:rPr>
      <w:color w:val="4A4A4A"/>
      <w:u w:val="none"/>
      <w:bdr w:val="none" w:color="auto" w:sz="0" w:space="0"/>
    </w:rPr>
  </w:style>
  <w:style w:type="character" w:styleId="23">
    <w:name w:val="footnote reference"/>
    <w:basedOn w:val="20"/>
    <w:semiHidden/>
    <w:unhideWhenUsed/>
    <w:qFormat/>
    <w:uiPriority w:val="99"/>
    <w:rPr>
      <w:vertAlign w:val="superscript"/>
    </w:rPr>
  </w:style>
  <w:style w:type="character" w:customStyle="1" w:styleId="24">
    <w:name w:val="纯文本 Char"/>
    <w:basedOn w:val="20"/>
    <w:link w:val="11"/>
    <w:qFormat/>
    <w:uiPriority w:val="99"/>
    <w:rPr>
      <w:rFonts w:ascii="宋体" w:hAnsi="Courier New" w:eastAsia="宋体" w:cs="Courier New"/>
      <w:szCs w:val="21"/>
    </w:rPr>
  </w:style>
  <w:style w:type="character" w:customStyle="1" w:styleId="25">
    <w:name w:val="页眉 Char"/>
    <w:basedOn w:val="20"/>
    <w:link w:val="14"/>
    <w:qFormat/>
    <w:uiPriority w:val="99"/>
    <w:rPr>
      <w:sz w:val="18"/>
      <w:szCs w:val="18"/>
    </w:rPr>
  </w:style>
  <w:style w:type="character" w:customStyle="1" w:styleId="26">
    <w:name w:val="页脚 Char"/>
    <w:basedOn w:val="20"/>
    <w:link w:val="13"/>
    <w:qFormat/>
    <w:uiPriority w:val="99"/>
    <w:rPr>
      <w:sz w:val="18"/>
      <w:szCs w:val="18"/>
    </w:rPr>
  </w:style>
  <w:style w:type="character" w:customStyle="1" w:styleId="27">
    <w:name w:val="标题 1 Char"/>
    <w:basedOn w:val="20"/>
    <w:link w:val="2"/>
    <w:qFormat/>
    <w:uiPriority w:val="9"/>
    <w:rPr>
      <w:rFonts w:eastAsia="黑体" w:asciiTheme="minorHAnsi" w:hAnsiTheme="minorHAnsi"/>
      <w:bCs/>
      <w:kern w:val="44"/>
      <w:sz w:val="32"/>
      <w:szCs w:val="44"/>
    </w:rPr>
  </w:style>
  <w:style w:type="character" w:customStyle="1" w:styleId="28">
    <w:name w:val="标题 2 Char"/>
    <w:basedOn w:val="20"/>
    <w:link w:val="3"/>
    <w:semiHidden/>
    <w:qFormat/>
    <w:uiPriority w:val="9"/>
    <w:rPr>
      <w:rFonts w:eastAsia="方正黑体_GBK" w:asciiTheme="majorHAnsi" w:hAnsiTheme="majorHAnsi" w:cstheme="majorBidi"/>
      <w:bCs/>
      <w:sz w:val="32"/>
      <w:szCs w:val="32"/>
    </w:rPr>
  </w:style>
  <w:style w:type="character" w:customStyle="1" w:styleId="29">
    <w:name w:val="标题 3 Char"/>
    <w:basedOn w:val="20"/>
    <w:link w:val="4"/>
    <w:semiHidden/>
    <w:qFormat/>
    <w:uiPriority w:val="9"/>
    <w:rPr>
      <w:rFonts w:eastAsia="方正楷体_GBK" w:asciiTheme="minorHAnsi" w:hAnsiTheme="minorHAnsi"/>
      <w:b/>
      <w:bCs/>
      <w:sz w:val="32"/>
      <w:szCs w:val="32"/>
    </w:rPr>
  </w:style>
  <w:style w:type="character" w:customStyle="1" w:styleId="30">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1">
    <w:name w:val="标题 5 Char"/>
    <w:basedOn w:val="20"/>
    <w:link w:val="6"/>
    <w:semiHidden/>
    <w:qFormat/>
    <w:uiPriority w:val="9"/>
    <w:rPr>
      <w:b/>
      <w:bCs/>
      <w:sz w:val="28"/>
      <w:szCs w:val="28"/>
    </w:rPr>
  </w:style>
  <w:style w:type="character" w:customStyle="1" w:styleId="32">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3">
    <w:name w:val="标题 7 Char"/>
    <w:basedOn w:val="20"/>
    <w:link w:val="8"/>
    <w:semiHidden/>
    <w:qFormat/>
    <w:uiPriority w:val="9"/>
    <w:rPr>
      <w:b/>
      <w:bCs/>
      <w:sz w:val="24"/>
      <w:szCs w:val="24"/>
    </w:rPr>
  </w:style>
  <w:style w:type="character" w:customStyle="1" w:styleId="34">
    <w:name w:val="标题 8 Char"/>
    <w:basedOn w:val="20"/>
    <w:link w:val="9"/>
    <w:semiHidden/>
    <w:qFormat/>
    <w:uiPriority w:val="9"/>
    <w:rPr>
      <w:rFonts w:asciiTheme="majorHAnsi" w:hAnsiTheme="majorHAnsi" w:eastAsiaTheme="majorEastAsia" w:cstheme="majorBidi"/>
      <w:sz w:val="24"/>
      <w:szCs w:val="24"/>
    </w:rPr>
  </w:style>
  <w:style w:type="character" w:customStyle="1" w:styleId="35">
    <w:name w:val="批注框文本 Char"/>
    <w:basedOn w:val="20"/>
    <w:link w:val="12"/>
    <w:semiHidden/>
    <w:qFormat/>
    <w:uiPriority w:val="99"/>
    <w:rPr>
      <w:kern w:val="2"/>
      <w:sz w:val="18"/>
      <w:szCs w:val="18"/>
    </w:rPr>
  </w:style>
  <w:style w:type="character" w:customStyle="1" w:styleId="36">
    <w:name w:val="15"/>
    <w:basedOn w:val="20"/>
    <w:qFormat/>
    <w:uiPriority w:val="0"/>
    <w:rPr>
      <w:rFonts w:hint="default" w:ascii="Times New Roman" w:hAnsi="Times New Roman" w:cs="Times New Roman"/>
      <w:b/>
      <w:bCs/>
    </w:rPr>
  </w:style>
  <w:style w:type="character" w:customStyle="1" w:styleId="37">
    <w:name w:val="正文文本缩进 Char"/>
    <w:basedOn w:val="20"/>
    <w:link w:val="10"/>
    <w:qFormat/>
    <w:uiPriority w:val="99"/>
    <w:rPr>
      <w:rFonts w:ascii="Times New Roman" w:hAnsi="Times New Roman" w:eastAsia="宋体" w:cs="Times New Roman"/>
      <w:kern w:val="2"/>
      <w:sz w:val="21"/>
      <w:szCs w:val="21"/>
    </w:rPr>
  </w:style>
  <w:style w:type="character" w:customStyle="1" w:styleId="38">
    <w:name w:val="标题 Char"/>
    <w:basedOn w:val="20"/>
    <w:link w:val="17"/>
    <w:qFormat/>
    <w:uiPriority w:val="0"/>
    <w:rPr>
      <w:rFonts w:hint="default" w:ascii="Cambria" w:hAnsi="Cambria" w:eastAsia="宋体" w:cs="Cambria"/>
      <w:b/>
      <w:kern w:val="2"/>
      <w:sz w:val="32"/>
      <w:szCs w:val="32"/>
    </w:rPr>
  </w:style>
  <w:style w:type="character" w:customStyle="1" w:styleId="39">
    <w:name w:val="页脚 Char1"/>
    <w:basedOn w:val="20"/>
    <w:link w:val="13"/>
    <w:qFormat/>
    <w:uiPriority w:val="0"/>
    <w:rPr>
      <w:rFonts w:hint="default" w:ascii="Times New Roman" w:hAnsi="Times New Roman" w:eastAsia="宋体" w:cs="Times New Roman"/>
      <w:kern w:val="2"/>
      <w:sz w:val="18"/>
      <w:szCs w:val="18"/>
    </w:rPr>
  </w:style>
  <w:style w:type="character" w:customStyle="1" w:styleId="40">
    <w:name w:val="titbg1"/>
    <w:basedOn w:val="20"/>
    <w:uiPriority w:val="0"/>
    <w:rPr>
      <w:shd w:val="clear" w:fill="378ED7"/>
    </w:rPr>
  </w:style>
  <w:style w:type="character" w:customStyle="1" w:styleId="41">
    <w:name w:val="three"/>
    <w:basedOn w:val="20"/>
    <w:uiPriority w:val="0"/>
    <w:rPr>
      <w:color w:val="777777"/>
      <w:bdr w:val="none" w:color="auto" w:sz="0" w:space="0"/>
    </w:rPr>
  </w:style>
  <w:style w:type="character" w:customStyle="1" w:styleId="42">
    <w:name w:val="three1"/>
    <w:basedOn w:val="20"/>
    <w:uiPriority w:val="0"/>
    <w:rPr>
      <w:color w:val="3C3C3C"/>
    </w:rPr>
  </w:style>
  <w:style w:type="character" w:customStyle="1" w:styleId="43">
    <w:name w:val="two"/>
    <w:basedOn w:val="20"/>
    <w:uiPriority w:val="0"/>
  </w:style>
  <w:style w:type="character" w:customStyle="1" w:styleId="44">
    <w:name w:val="titbg2"/>
    <w:basedOn w:val="20"/>
    <w:uiPriority w:val="0"/>
    <w:rPr>
      <w:shd w:val="clear" w:fill="378ED7"/>
    </w:rPr>
  </w:style>
  <w:style w:type="character" w:customStyle="1" w:styleId="45">
    <w:name w:val="one"/>
    <w:basedOn w:val="20"/>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1460</Words>
  <Characters>8323</Characters>
  <Lines>69</Lines>
  <Paragraphs>19</Paragraphs>
  <TotalTime>121</TotalTime>
  <ScaleCrop>false</ScaleCrop>
  <LinksUpToDate>false</LinksUpToDate>
  <CharactersWithSpaces>9764</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2022-01-28T04:37:09Z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AAC7F7B6F5494A41BADB80700CA67999</vt:lpwstr>
  </property>
</Properties>
</file>