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230401" w14:textId="77777777" w:rsidR="007C58FD" w:rsidRDefault="007C58FD">
      <w:pPr>
        <w:jc w:val="center"/>
        <w:rPr>
          <w:rFonts w:eastAsia="方正黑体_GBK"/>
          <w:bCs/>
          <w:sz w:val="44"/>
          <w:szCs w:val="44"/>
        </w:rPr>
      </w:pPr>
    </w:p>
    <w:p w14:paraId="695D6E95" w14:textId="77777777" w:rsidR="007C58FD" w:rsidRDefault="007C58FD">
      <w:pPr>
        <w:widowControl/>
        <w:jc w:val="left"/>
        <w:rPr>
          <w:rFonts w:ascii="宋体" w:hAnsi="宋体" w:cs="宋体"/>
          <w:bCs/>
          <w:smallCaps/>
          <w:color w:val="000000"/>
          <w:kern w:val="0"/>
          <w:sz w:val="36"/>
          <w:szCs w:val="32"/>
        </w:rPr>
      </w:pPr>
    </w:p>
    <w:p w14:paraId="40682A43" w14:textId="77777777" w:rsidR="007C58FD" w:rsidRDefault="00360A0F">
      <w:pPr>
        <w:widowControl/>
        <w:spacing w:line="500" w:lineRule="exact"/>
        <w:jc w:val="center"/>
        <w:rPr>
          <w:sz w:val="44"/>
          <w:szCs w:val="44"/>
        </w:rPr>
      </w:pPr>
      <w:r>
        <w:rPr>
          <w:rFonts w:hint="eastAsia"/>
          <w:sz w:val="44"/>
          <w:szCs w:val="44"/>
        </w:rPr>
        <w:t>防范和处置非法集资条例</w:t>
      </w:r>
    </w:p>
    <w:p w14:paraId="772A27E6" w14:textId="77777777" w:rsidR="007C58FD" w:rsidRDefault="007C58FD">
      <w:pPr>
        <w:widowControl/>
        <w:spacing w:line="500" w:lineRule="exact"/>
        <w:jc w:val="center"/>
        <w:rPr>
          <w:sz w:val="44"/>
          <w:szCs w:val="44"/>
        </w:rPr>
      </w:pPr>
    </w:p>
    <w:p w14:paraId="4EC2008D" w14:textId="18C3DD7F" w:rsidR="007C58FD" w:rsidRPr="00E866B7" w:rsidRDefault="00360A0F" w:rsidP="00E866B7">
      <w:pPr>
        <w:widowControl/>
        <w:spacing w:line="500" w:lineRule="exact"/>
        <w:ind w:firstLineChars="200" w:firstLine="640"/>
        <w:jc w:val="left"/>
        <w:rPr>
          <w:rFonts w:ascii="楷体_GB2312" w:eastAsia="楷体_GB2312" w:hAnsi="宋体" w:cs="楷体_GB2312"/>
          <w:bCs/>
          <w:color w:val="333333"/>
          <w:sz w:val="32"/>
          <w:szCs w:val="32"/>
          <w:shd w:val="clear" w:color="auto" w:fill="FFFFFF"/>
          <w:lang w:bidi="ar"/>
        </w:rPr>
      </w:pPr>
      <w:r>
        <w:rPr>
          <w:rFonts w:ascii="楷体_GB2312" w:eastAsia="楷体_GB2312" w:hAnsi="宋体" w:cs="楷体_GB2312" w:hint="eastAsia"/>
          <w:bCs/>
          <w:color w:val="333333"/>
          <w:sz w:val="32"/>
          <w:szCs w:val="32"/>
          <w:shd w:val="clear" w:color="auto" w:fill="FFFFFF"/>
          <w:lang w:bidi="ar"/>
        </w:rPr>
        <w:t>(</w:t>
      </w:r>
      <w:r>
        <w:rPr>
          <w:rFonts w:ascii="楷体_GB2312" w:eastAsia="楷体_GB2312" w:hAnsi="楷体_GB2312" w:cs="楷体_GB2312" w:hint="eastAsia"/>
          <w:color w:val="333333"/>
          <w:sz w:val="32"/>
          <w:szCs w:val="32"/>
          <w:shd w:val="clear" w:color="auto" w:fill="FFFFFF"/>
        </w:rPr>
        <w:t>2020年12月21日国务院第119次常务会议通过</w:t>
      </w:r>
      <w:r>
        <w:rPr>
          <w:rFonts w:ascii="楷体_GB2312" w:eastAsia="楷体_GB2312" w:hAnsi="宋体" w:cs="楷体_GB2312" w:hint="eastAsia"/>
          <w:bCs/>
          <w:color w:val="333333"/>
          <w:sz w:val="32"/>
          <w:szCs w:val="32"/>
          <w:shd w:val="clear" w:color="auto" w:fill="FFFFFF"/>
          <w:lang w:bidi="ar"/>
        </w:rPr>
        <w:t xml:space="preserve">　2021年1月26日中华人民共和国国务院令第737号公布　自2021年5月1日起施行)</w:t>
      </w:r>
    </w:p>
    <w:p w14:paraId="039BFF09" w14:textId="77777777" w:rsidR="007C58FD" w:rsidRDefault="00360A0F">
      <w:pPr>
        <w:pStyle w:val="2"/>
      </w:pPr>
      <w:r>
        <w:rPr>
          <w:rFonts w:hint="eastAsia"/>
        </w:rPr>
        <w:t>第一章　总　　则</w:t>
      </w:r>
    </w:p>
    <w:p w14:paraId="1293BFA2"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第一条</w:t>
      </w:r>
      <w:r>
        <w:rPr>
          <w:rFonts w:ascii="仿宋_GB2312" w:eastAsia="仿宋_GB2312" w:hAnsi="仿宋_GB2312" w:cs="仿宋_GB2312"/>
          <w:color w:val="333333"/>
          <w:sz w:val="32"/>
          <w:szCs w:val="32"/>
          <w:shd w:val="clear" w:color="auto" w:fill="FFFFFF"/>
        </w:rPr>
        <w:t xml:space="preserve">　为了防范和处置非法集资，保护社会公众合法权益，防范化解金融风险，维护经济秩序和社会稳定，制定本条例。</w:t>
      </w:r>
    </w:p>
    <w:p w14:paraId="492B68A4"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第二条</w:t>
      </w:r>
      <w:r>
        <w:rPr>
          <w:rFonts w:ascii="仿宋_GB2312" w:eastAsia="仿宋_GB2312" w:hAnsi="仿宋_GB2312" w:cs="仿宋_GB2312"/>
          <w:color w:val="333333"/>
          <w:sz w:val="32"/>
          <w:szCs w:val="32"/>
          <w:shd w:val="clear" w:color="auto" w:fill="FFFFFF"/>
        </w:rPr>
        <w:t xml:space="preserve">　本条例所称非法集资，是指未经国务院金融管理部门依法许可或者违反国家金融管理规定，以许诺还本付息或者给予其他投资回报等方式，向不特定对象吸收资金的行为。</w:t>
      </w:r>
    </w:p>
    <w:p w14:paraId="215A3DA9"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非法集资的防范以及行政机关对非法集资的处置，适用本条例。法律、行政法规对非法从事银行、证券、保险、外汇等金融业务活动另有规定的，适用其规定。</w:t>
      </w:r>
    </w:p>
    <w:p w14:paraId="1DFC4D52"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本条例所称国务院金融管理部门，是指中国人民银行、国务院金融监督管理机构和国务院外汇管理部门。</w:t>
      </w:r>
    </w:p>
    <w:p w14:paraId="732EFCDB"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第三条</w:t>
      </w:r>
      <w:r>
        <w:rPr>
          <w:rFonts w:ascii="仿宋_GB2312" w:eastAsia="仿宋_GB2312" w:hAnsi="仿宋_GB2312" w:cs="仿宋_GB2312"/>
          <w:color w:val="333333"/>
          <w:sz w:val="32"/>
          <w:szCs w:val="32"/>
          <w:shd w:val="clear" w:color="auto" w:fill="FFFFFF"/>
        </w:rPr>
        <w:t xml:space="preserve">　本条例所称非法集资人，是指发起、主导或者组织实施非法集资的单位和个人；所称非法集资协助人，是指明知是</w:t>
      </w:r>
      <w:r>
        <w:rPr>
          <w:rFonts w:ascii="仿宋_GB2312" w:eastAsia="仿宋_GB2312" w:hAnsi="仿宋_GB2312" w:cs="仿宋_GB2312"/>
          <w:color w:val="333333"/>
          <w:sz w:val="32"/>
          <w:szCs w:val="32"/>
          <w:shd w:val="clear" w:color="auto" w:fill="FFFFFF"/>
        </w:rPr>
        <w:lastRenderedPageBreak/>
        <w:t>非法集资而为其提供帮助并获取经济利益的单位和个人。</w:t>
      </w:r>
    </w:p>
    <w:p w14:paraId="6CA754FE"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第四条</w:t>
      </w:r>
      <w:r>
        <w:rPr>
          <w:rFonts w:ascii="仿宋_GB2312" w:eastAsia="仿宋_GB2312" w:hAnsi="仿宋_GB2312" w:cs="仿宋_GB2312"/>
          <w:color w:val="333333"/>
          <w:sz w:val="32"/>
          <w:szCs w:val="32"/>
          <w:shd w:val="clear" w:color="auto" w:fill="FFFFFF"/>
        </w:rPr>
        <w:t xml:space="preserve">　国家禁止任何形式的非法集资，对非法集资坚持防范为主、</w:t>
      </w:r>
      <w:proofErr w:type="gramStart"/>
      <w:r>
        <w:rPr>
          <w:rFonts w:ascii="仿宋_GB2312" w:eastAsia="仿宋_GB2312" w:hAnsi="仿宋_GB2312" w:cs="仿宋_GB2312"/>
          <w:color w:val="333333"/>
          <w:sz w:val="32"/>
          <w:szCs w:val="32"/>
          <w:shd w:val="clear" w:color="auto" w:fill="FFFFFF"/>
        </w:rPr>
        <w:t>打早打</w:t>
      </w:r>
      <w:proofErr w:type="gramEnd"/>
      <w:r>
        <w:rPr>
          <w:rFonts w:ascii="仿宋_GB2312" w:eastAsia="仿宋_GB2312" w:hAnsi="仿宋_GB2312" w:cs="仿宋_GB2312"/>
          <w:color w:val="333333"/>
          <w:sz w:val="32"/>
          <w:szCs w:val="32"/>
          <w:shd w:val="clear" w:color="auto" w:fill="FFFFFF"/>
        </w:rPr>
        <w:t>小、综合治理、稳妥处置的原则。</w:t>
      </w:r>
    </w:p>
    <w:p w14:paraId="6A7482CA"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第五条</w:t>
      </w:r>
      <w:r>
        <w:rPr>
          <w:rFonts w:ascii="仿宋_GB2312" w:eastAsia="仿宋_GB2312" w:hAnsi="仿宋_GB2312" w:cs="仿宋_GB2312"/>
          <w:color w:val="333333"/>
          <w:sz w:val="32"/>
          <w:szCs w:val="32"/>
          <w:shd w:val="clear" w:color="auto" w:fill="FFFFFF"/>
        </w:rPr>
        <w:t xml:space="preserve">　省、自治区、直辖市人民政府对本行政区域内防范和处置非法集资工作负总责，地方各级人民政府应当建立健全政府统一领导的防范和处置非法集资工作机制。县级以上地方人民政府应当明确防范和处置非法集资工作机制的牵头部门（以下简称处置非法集资牵头部门），有关部门以及国务院金融管理部门分支机构、派出机构等单位参加工作机制；乡镇人民政府应当明确牵头负责防范和处置非法集资工作的人员。上级地方人民政府应当督促、指导下级地方人民政府做好本行政区域防范和处置非法集资工作。</w:t>
      </w:r>
    </w:p>
    <w:p w14:paraId="12CA7C97"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行业主管部门、监管部门应当按照职责分工，负责本行业、领域非法集资的防范和配合处置工作。</w:t>
      </w:r>
    </w:p>
    <w:p w14:paraId="7D1A7455"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第六条</w:t>
      </w:r>
      <w:r>
        <w:rPr>
          <w:rFonts w:ascii="仿宋_GB2312" w:eastAsia="仿宋_GB2312" w:hAnsi="仿宋_GB2312" w:cs="仿宋_GB2312"/>
          <w:color w:val="333333"/>
          <w:sz w:val="32"/>
          <w:szCs w:val="32"/>
          <w:shd w:val="clear" w:color="auto" w:fill="FFFFFF"/>
        </w:rPr>
        <w:t xml:space="preserve">　国务院建立处置非法集资部际联席会议（以下简称联席会议）制度。联席会议由国务院银行保险监督管理机构牵头，有关部门参加，负责督促、指导有关部门和地方开展防范和处置非法集资工作，协调解决防范和处置非法集资工作中的重大问题。</w:t>
      </w:r>
    </w:p>
    <w:p w14:paraId="1484617F" w14:textId="454B051E"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第七条</w:t>
      </w:r>
      <w:r>
        <w:rPr>
          <w:rFonts w:ascii="仿宋_GB2312" w:eastAsia="仿宋_GB2312" w:hAnsi="仿宋_GB2312" w:cs="仿宋_GB2312"/>
          <w:color w:val="333333"/>
          <w:sz w:val="32"/>
          <w:szCs w:val="32"/>
          <w:shd w:val="clear" w:color="auto" w:fill="FFFFFF"/>
        </w:rPr>
        <w:t xml:space="preserve">　各级人民政府应当合理保障防范和处置非法集资</w:t>
      </w:r>
      <w:r>
        <w:rPr>
          <w:rFonts w:ascii="仿宋_GB2312" w:eastAsia="仿宋_GB2312" w:hAnsi="仿宋_GB2312" w:cs="仿宋_GB2312"/>
          <w:color w:val="333333"/>
          <w:sz w:val="32"/>
          <w:szCs w:val="32"/>
          <w:shd w:val="clear" w:color="auto" w:fill="FFFFFF"/>
        </w:rPr>
        <w:lastRenderedPageBreak/>
        <w:t>工作相关经费，并列入本级预算。</w:t>
      </w:r>
    </w:p>
    <w:p w14:paraId="64C91060" w14:textId="6A1016DB" w:rsidR="007C58FD" w:rsidRDefault="00360A0F" w:rsidP="00E866B7">
      <w:pPr>
        <w:pStyle w:val="2"/>
        <w:rPr>
          <w:rFonts w:ascii="仿宋_GB2312" w:eastAsia="仿宋_GB2312" w:hAnsi="仿宋_GB2312" w:cs="仿宋_GB2312"/>
          <w:color w:val="333333"/>
        </w:rPr>
      </w:pPr>
      <w:r>
        <w:rPr>
          <w:rFonts w:ascii="仿宋_GB2312" w:hAnsi="仿宋_GB2312" w:cs="仿宋_GB2312" w:hint="eastAsia"/>
          <w:color w:val="333333"/>
          <w:shd w:val="clear" w:color="auto" w:fill="FFFFFF"/>
        </w:rPr>
        <w:t xml:space="preserve">第二章　防　　</w:t>
      </w:r>
      <w:proofErr w:type="gramStart"/>
      <w:r>
        <w:rPr>
          <w:rFonts w:ascii="仿宋_GB2312" w:hAnsi="仿宋_GB2312" w:cs="仿宋_GB2312" w:hint="eastAsia"/>
          <w:color w:val="333333"/>
          <w:shd w:val="clear" w:color="auto" w:fill="FFFFFF"/>
        </w:rPr>
        <w:t>范</w:t>
      </w:r>
      <w:proofErr w:type="gramEnd"/>
    </w:p>
    <w:p w14:paraId="108611D0"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第八条</w:t>
      </w:r>
      <w:r>
        <w:rPr>
          <w:rFonts w:ascii="仿宋_GB2312" w:eastAsia="仿宋_GB2312" w:hAnsi="仿宋_GB2312" w:cs="仿宋_GB2312"/>
          <w:color w:val="333333"/>
          <w:sz w:val="32"/>
          <w:szCs w:val="32"/>
          <w:shd w:val="clear" w:color="auto" w:fill="FFFFFF"/>
        </w:rPr>
        <w:t xml:space="preserve">　地方各级人民政府应当建立非法集资监测预警机制，纳入社会治安综合治理体系，发挥网格化管理和基层群众自治组织的作用，运用大数据等现代信息技术手段，加强对非法集资的监测预警。</w:t>
      </w:r>
    </w:p>
    <w:p w14:paraId="0266115D"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行业主管部门、监管部门应当强化日常监督管理，负责本行业、领域非法集资的风险排查和监测预警。</w:t>
      </w:r>
    </w:p>
    <w:p w14:paraId="20B4C420"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联席会议应当建立健全全国非法集资监测预警体系，推动建设国家监测预警平台，促进地方、部门信息共享，加强非法集资风险</w:t>
      </w:r>
      <w:proofErr w:type="gramStart"/>
      <w:r>
        <w:rPr>
          <w:rFonts w:ascii="仿宋_GB2312" w:eastAsia="仿宋_GB2312" w:hAnsi="仿宋_GB2312" w:cs="仿宋_GB2312"/>
          <w:color w:val="333333"/>
          <w:sz w:val="32"/>
          <w:szCs w:val="32"/>
          <w:shd w:val="clear" w:color="auto" w:fill="FFFFFF"/>
        </w:rPr>
        <w:t>研</w:t>
      </w:r>
      <w:proofErr w:type="gramEnd"/>
      <w:r>
        <w:rPr>
          <w:rFonts w:ascii="仿宋_GB2312" w:eastAsia="仿宋_GB2312" w:hAnsi="仿宋_GB2312" w:cs="仿宋_GB2312"/>
          <w:color w:val="333333"/>
          <w:sz w:val="32"/>
          <w:szCs w:val="32"/>
          <w:shd w:val="clear" w:color="auto" w:fill="FFFFFF"/>
        </w:rPr>
        <w:t>判，及时预警提示。</w:t>
      </w:r>
    </w:p>
    <w:p w14:paraId="51D4C0F7"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第九条</w:t>
      </w:r>
      <w:r>
        <w:rPr>
          <w:rFonts w:ascii="仿宋_GB2312" w:eastAsia="仿宋_GB2312" w:hAnsi="仿宋_GB2312" w:cs="仿宋_GB2312"/>
          <w:color w:val="333333"/>
          <w:sz w:val="32"/>
          <w:szCs w:val="32"/>
          <w:shd w:val="clear" w:color="auto" w:fill="FFFFFF"/>
        </w:rPr>
        <w:t xml:space="preserve">　市场监督管理部门应当加强企业、个体工商户名称和经营范围等商</w:t>
      </w:r>
      <w:proofErr w:type="gramStart"/>
      <w:r>
        <w:rPr>
          <w:rFonts w:ascii="仿宋_GB2312" w:eastAsia="仿宋_GB2312" w:hAnsi="仿宋_GB2312" w:cs="仿宋_GB2312"/>
          <w:color w:val="333333"/>
          <w:sz w:val="32"/>
          <w:szCs w:val="32"/>
          <w:shd w:val="clear" w:color="auto" w:fill="FFFFFF"/>
        </w:rPr>
        <w:t>事登记</w:t>
      </w:r>
      <w:proofErr w:type="gramEnd"/>
      <w:r>
        <w:rPr>
          <w:rFonts w:ascii="仿宋_GB2312" w:eastAsia="仿宋_GB2312" w:hAnsi="仿宋_GB2312" w:cs="仿宋_GB2312"/>
          <w:color w:val="333333"/>
          <w:sz w:val="32"/>
          <w:szCs w:val="32"/>
          <w:shd w:val="clear" w:color="auto" w:fill="FFFFFF"/>
        </w:rPr>
        <w:t>管理。除法律、行政法规和国家另有规定外，企业、个体工商户名称和经营范围中不得包含“金融”、“交易所”、“交易中心”、“理财”、“财富管理”、“股权众筹”等字样或者内容。</w:t>
      </w:r>
    </w:p>
    <w:p w14:paraId="69FB9D31"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县级以上地方人民政府处置非法集资牵头部门、市场监督管理部门等有关部门应当建立会商机制，发现企业、个体工商户名称或者经营范围中包含前款规定以外的其他与集资有关的字样</w:t>
      </w:r>
      <w:r>
        <w:rPr>
          <w:rFonts w:ascii="仿宋_GB2312" w:eastAsia="仿宋_GB2312" w:hAnsi="仿宋_GB2312" w:cs="仿宋_GB2312"/>
          <w:color w:val="333333"/>
          <w:sz w:val="32"/>
          <w:szCs w:val="32"/>
          <w:shd w:val="clear" w:color="auto" w:fill="FFFFFF"/>
        </w:rPr>
        <w:lastRenderedPageBreak/>
        <w:t>或者内容的，及时予以重点关注。</w:t>
      </w:r>
    </w:p>
    <w:p w14:paraId="74CA5C5B"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第十条</w:t>
      </w:r>
      <w:r>
        <w:rPr>
          <w:rFonts w:ascii="仿宋_GB2312" w:eastAsia="仿宋_GB2312" w:hAnsi="仿宋_GB2312" w:cs="仿宋_GB2312"/>
          <w:color w:val="333333"/>
          <w:sz w:val="32"/>
          <w:szCs w:val="32"/>
          <w:shd w:val="clear" w:color="auto" w:fill="FFFFFF"/>
        </w:rPr>
        <w:t xml:space="preserve">　处置非法集资牵头部门会同互联网信息内容管理部门、电信主管部门加强对涉嫌非法集资的互联网信息和网站、移动应用程序等互联网应用的监测。经处置非法集资牵头部门组织认定为用于非法集资的，互联网信息内容管理部门、电信主管部门应当及时依法</w:t>
      </w:r>
      <w:proofErr w:type="gramStart"/>
      <w:r>
        <w:rPr>
          <w:rFonts w:ascii="仿宋_GB2312" w:eastAsia="仿宋_GB2312" w:hAnsi="仿宋_GB2312" w:cs="仿宋_GB2312"/>
          <w:color w:val="333333"/>
          <w:sz w:val="32"/>
          <w:szCs w:val="32"/>
          <w:shd w:val="clear" w:color="auto" w:fill="FFFFFF"/>
        </w:rPr>
        <w:t>作出</w:t>
      </w:r>
      <w:proofErr w:type="gramEnd"/>
      <w:r>
        <w:rPr>
          <w:rFonts w:ascii="仿宋_GB2312" w:eastAsia="仿宋_GB2312" w:hAnsi="仿宋_GB2312" w:cs="仿宋_GB2312"/>
          <w:color w:val="333333"/>
          <w:sz w:val="32"/>
          <w:szCs w:val="32"/>
          <w:shd w:val="clear" w:color="auto" w:fill="FFFFFF"/>
        </w:rPr>
        <w:t>处理。</w:t>
      </w:r>
    </w:p>
    <w:p w14:paraId="1245FD0E"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互联网信息服务提供者应当加强对用户发布信息的管理，不得制作、复制、发布、传播涉嫌非法集资的信息。发现涉嫌非法集资的信息，应当保存有关记录，并向处置非法集资牵头部门报告。</w:t>
      </w:r>
    </w:p>
    <w:p w14:paraId="2209CE71"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第十一条</w:t>
      </w:r>
      <w:r>
        <w:rPr>
          <w:rFonts w:ascii="仿宋_GB2312" w:eastAsia="仿宋_GB2312" w:hAnsi="仿宋_GB2312" w:cs="仿宋_GB2312"/>
          <w:color w:val="333333"/>
          <w:sz w:val="32"/>
          <w:szCs w:val="32"/>
          <w:shd w:val="clear" w:color="auto" w:fill="FFFFFF"/>
        </w:rPr>
        <w:t xml:space="preserve">　除国家另有规定外，任何单位和个人不得发布包含集资内容的广告或者以其他方式向社会公众进行集资宣传。</w:t>
      </w:r>
    </w:p>
    <w:p w14:paraId="6D417C0C"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市场监督管理部门会同处置非法集资牵头部门加强对涉嫌非法集资广告的监测。经处置非法集资牵头部门组织认定为非法集资的，市场监督管理部门应当及时依法查处相关非法集资广告。</w:t>
      </w:r>
    </w:p>
    <w:p w14:paraId="0440BEA4"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广告经营者、广告发布者应当依照法律、行政法规查验相关证明文件，核对广告内容。对没有相关证明文件且包含集资内容的广告，广告经营者不得提供设计、制作、代理服务，广告发布者不得发布。</w:t>
      </w:r>
    </w:p>
    <w:p w14:paraId="42DE4ACE"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lastRenderedPageBreak/>
        <w:t>第十二条</w:t>
      </w:r>
      <w:r>
        <w:rPr>
          <w:rFonts w:ascii="仿宋_GB2312" w:eastAsia="仿宋_GB2312" w:hAnsi="仿宋_GB2312" w:cs="仿宋_GB2312"/>
          <w:color w:val="333333"/>
          <w:sz w:val="32"/>
          <w:szCs w:val="32"/>
          <w:shd w:val="clear" w:color="auto" w:fill="FFFFFF"/>
        </w:rPr>
        <w:t xml:space="preserve">　处置非法集资牵头部门与所在地国务院金融管理部门分支机构、派出机构应当建立非法集资可疑资金监测机制。国务院金融管理部门及其分支机构、派出机构应当按照职责分工督促、指导金融机构、非银行支付机构加强对资金异常流动情况及其他涉嫌非法集资可疑资金的监测工作。</w:t>
      </w:r>
    </w:p>
    <w:p w14:paraId="64E8A7A3"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第十三条</w:t>
      </w:r>
      <w:r>
        <w:rPr>
          <w:rFonts w:ascii="仿宋_GB2312" w:eastAsia="仿宋_GB2312" w:hAnsi="仿宋_GB2312" w:cs="仿宋_GB2312"/>
          <w:color w:val="333333"/>
          <w:sz w:val="32"/>
          <w:szCs w:val="32"/>
          <w:shd w:val="clear" w:color="auto" w:fill="FFFFFF"/>
        </w:rPr>
        <w:t xml:space="preserve">　金融机构、非银行支付机构应当履行下列防范非法集资的义务：</w:t>
      </w:r>
    </w:p>
    <w:p w14:paraId="4C73FA25"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（一）建立健全内部管理制度，禁止分支机构和员工参与非法集资，防止他人利用其经营场所、销售渠道从事非法集资；</w:t>
      </w:r>
    </w:p>
    <w:p w14:paraId="185046CB"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（二）加强对社会公众防范非法集资的宣传教育，在经营场所醒目位置设置警示标识；</w:t>
      </w:r>
    </w:p>
    <w:p w14:paraId="5AB89C0E"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（三）依法严格执行大额交易和可疑交易报告制度，对涉嫌非法集资资金异常流动的相关账户进行分析识别，并将有关情况及时报告所在地国务院金融管理部门分支机构、派出机构和处置非法集资牵头部门。</w:t>
      </w:r>
    </w:p>
    <w:p w14:paraId="7747BBC5"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第十四条</w:t>
      </w:r>
      <w:r>
        <w:rPr>
          <w:rFonts w:ascii="仿宋_GB2312" w:eastAsia="仿宋_GB2312" w:hAnsi="仿宋_GB2312" w:cs="仿宋_GB2312"/>
          <w:color w:val="333333"/>
          <w:sz w:val="32"/>
          <w:szCs w:val="32"/>
          <w:shd w:val="clear" w:color="auto" w:fill="FFFFFF"/>
        </w:rPr>
        <w:t xml:space="preserve">　行业协会、商会应当加强行业自律管理、自我约束，督促、引导成员积极防范非法集资，不组织、不协助、不参与非法集资。</w:t>
      </w:r>
    </w:p>
    <w:p w14:paraId="15FB69FB"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第十五条</w:t>
      </w:r>
      <w:r>
        <w:rPr>
          <w:rFonts w:ascii="仿宋_GB2312" w:eastAsia="仿宋_GB2312" w:hAnsi="仿宋_GB2312" w:cs="仿宋_GB2312"/>
          <w:color w:val="333333"/>
          <w:sz w:val="32"/>
          <w:szCs w:val="32"/>
          <w:shd w:val="clear" w:color="auto" w:fill="FFFFFF"/>
        </w:rPr>
        <w:t xml:space="preserve">　联席会议应当建立中央和地方上下联动的防范非法集资宣传教育工作机制，推动全国范围内防范非法集资宣传</w:t>
      </w:r>
      <w:r>
        <w:rPr>
          <w:rFonts w:ascii="仿宋_GB2312" w:eastAsia="仿宋_GB2312" w:hAnsi="仿宋_GB2312" w:cs="仿宋_GB2312"/>
          <w:color w:val="333333"/>
          <w:sz w:val="32"/>
          <w:szCs w:val="32"/>
          <w:shd w:val="clear" w:color="auto" w:fill="FFFFFF"/>
        </w:rPr>
        <w:lastRenderedPageBreak/>
        <w:t>教育工作。</w:t>
      </w:r>
    </w:p>
    <w:p w14:paraId="691D8DEF"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地方各级人民政府应当开展常态化的防范非法集资宣传教育工作，充分运用各类媒介或者载体，以法律政策解读、典型案例剖析、投资风险教育等方式，向社会公众宣传非法集资的违法性、危害性及其表现形式等，增强社会公众对非法集资的防范意识和识别能力。</w:t>
      </w:r>
    </w:p>
    <w:p w14:paraId="2DDAFC2B"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行业主管部门、监管部门以及行业协会、商会应当根据本行业、领域非法集资风险特点，有针对性地开展防范非法集资宣传教育活动。</w:t>
      </w:r>
    </w:p>
    <w:p w14:paraId="4508B824"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新闻媒体应当开展防范非法集资公益宣传，并依法对非法集资进行舆论监督。</w:t>
      </w:r>
    </w:p>
    <w:p w14:paraId="7A8D1198"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第十六条</w:t>
      </w:r>
      <w:r>
        <w:rPr>
          <w:rFonts w:ascii="仿宋_GB2312" w:eastAsia="仿宋_GB2312" w:hAnsi="仿宋_GB2312" w:cs="仿宋_GB2312"/>
          <w:color w:val="333333"/>
          <w:sz w:val="32"/>
          <w:szCs w:val="32"/>
          <w:shd w:val="clear" w:color="auto" w:fill="FFFFFF"/>
        </w:rPr>
        <w:t xml:space="preserve">　对涉嫌非法集资行为，任何单位和个人有权向处置非法集资牵头部门或者其他有关部门举报。</w:t>
      </w:r>
    </w:p>
    <w:p w14:paraId="10E8F03A"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国家鼓励对涉嫌非法集资行为进行举报。处置非法集资牵头部门以及其他有关部门应当公开举报电话和邮箱等举报方式、在政府网站设置举报专栏，接受举报，及时依法处理，并为举报人保密。</w:t>
      </w:r>
    </w:p>
    <w:p w14:paraId="5354AC39"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第十七条</w:t>
      </w:r>
      <w:r>
        <w:rPr>
          <w:rFonts w:ascii="仿宋_GB2312" w:eastAsia="仿宋_GB2312" w:hAnsi="仿宋_GB2312" w:cs="仿宋_GB2312"/>
          <w:color w:val="333333"/>
          <w:sz w:val="32"/>
          <w:szCs w:val="32"/>
          <w:shd w:val="clear" w:color="auto" w:fill="FFFFFF"/>
        </w:rPr>
        <w:t xml:space="preserve">　居民委员会、村民委员会发现所在区域有涉嫌非法集资行为的，应当向当地人民政府、处置非法集资牵头部门或者其他有关部门报告。</w:t>
      </w:r>
    </w:p>
    <w:p w14:paraId="6447403E" w14:textId="1FA86D61"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lastRenderedPageBreak/>
        <w:t>第十八条</w:t>
      </w:r>
      <w:r>
        <w:rPr>
          <w:rFonts w:ascii="仿宋_GB2312" w:eastAsia="仿宋_GB2312" w:hAnsi="仿宋_GB2312" w:cs="仿宋_GB2312"/>
          <w:color w:val="333333"/>
          <w:sz w:val="32"/>
          <w:szCs w:val="32"/>
          <w:shd w:val="clear" w:color="auto" w:fill="FFFFFF"/>
        </w:rPr>
        <w:t xml:space="preserve">　处置非法集资牵头部门和行业主管部门、监管部门发现本行政区域或者本行业、领域可能存在非法集资风险的，有权对相关单位和个人进行警示约谈，责令整改。</w:t>
      </w:r>
    </w:p>
    <w:p w14:paraId="5632A178" w14:textId="1B78D665" w:rsidR="007C58FD" w:rsidRDefault="00360A0F" w:rsidP="00E866B7">
      <w:pPr>
        <w:pStyle w:val="2"/>
        <w:rPr>
          <w:rFonts w:ascii="仿宋_GB2312" w:eastAsia="仿宋_GB2312" w:hAnsi="仿宋_GB2312" w:cs="仿宋_GB2312"/>
          <w:color w:val="333333"/>
        </w:rPr>
      </w:pPr>
      <w:r>
        <w:rPr>
          <w:rFonts w:ascii="仿宋_GB2312" w:hAnsi="仿宋_GB2312" w:cs="仿宋_GB2312" w:hint="eastAsia"/>
          <w:color w:val="333333"/>
          <w:shd w:val="clear" w:color="auto" w:fill="FFFFFF"/>
        </w:rPr>
        <w:t xml:space="preserve">第三章　</w:t>
      </w:r>
      <w:proofErr w:type="gramStart"/>
      <w:r>
        <w:rPr>
          <w:rFonts w:ascii="仿宋_GB2312" w:hAnsi="仿宋_GB2312" w:cs="仿宋_GB2312" w:hint="eastAsia"/>
          <w:color w:val="333333"/>
          <w:shd w:val="clear" w:color="auto" w:fill="FFFFFF"/>
        </w:rPr>
        <w:t xml:space="preserve">处　　</w:t>
      </w:r>
      <w:proofErr w:type="gramEnd"/>
      <w:r>
        <w:rPr>
          <w:rFonts w:ascii="仿宋_GB2312" w:hAnsi="仿宋_GB2312" w:cs="仿宋_GB2312" w:hint="eastAsia"/>
          <w:color w:val="333333"/>
          <w:shd w:val="clear" w:color="auto" w:fill="FFFFFF"/>
        </w:rPr>
        <w:t>置</w:t>
      </w:r>
    </w:p>
    <w:p w14:paraId="6F694AF0"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第十九条</w:t>
      </w:r>
      <w:r>
        <w:rPr>
          <w:rFonts w:ascii="仿宋_GB2312" w:eastAsia="仿宋_GB2312" w:hAnsi="仿宋_GB2312" w:cs="仿宋_GB2312"/>
          <w:color w:val="333333"/>
          <w:sz w:val="32"/>
          <w:szCs w:val="32"/>
          <w:shd w:val="clear" w:color="auto" w:fill="FFFFFF"/>
        </w:rPr>
        <w:t xml:space="preserve">　对本行政区域内的下列行为，涉嫌非法集资的，处置非法集资牵头部门应当及时组织有关行业主管部门、监管部门以及国务院金融管理部门分支机构、派出机构进行调查认定：</w:t>
      </w:r>
    </w:p>
    <w:p w14:paraId="356CCAEE"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（一）设立互联网企业、投资及投资咨询类企业、各类交易场所或者平台、农民专业合作社、资金互助组织以及其他组织吸收资金；</w:t>
      </w:r>
    </w:p>
    <w:p w14:paraId="29B1DC1D"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（二）以发行或者转让股权、债权，募集基金，销售保险产品，或者以从事各类资产管理、虚拟货币、融资租赁业务等名义吸收资金；</w:t>
      </w:r>
    </w:p>
    <w:p w14:paraId="2755FB3C"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（三）在销售商品、提供服务、投资项目等商业活动中，以承诺给付货币、股权、实物等回报的形式吸收资金；</w:t>
      </w:r>
    </w:p>
    <w:p w14:paraId="2893F734"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（四）违反法律、行政法规或者国家有关规定，通过大众传播媒介、即时通信工具或者其他方式公开传播吸收资金信息；</w:t>
      </w:r>
    </w:p>
    <w:p w14:paraId="4F7F4787"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（五）其他涉嫌非法集资的行为。</w:t>
      </w:r>
    </w:p>
    <w:p w14:paraId="60E7E460"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第二十条</w:t>
      </w:r>
      <w:r>
        <w:rPr>
          <w:rFonts w:ascii="仿宋_GB2312" w:eastAsia="仿宋_GB2312" w:hAnsi="仿宋_GB2312" w:cs="仿宋_GB2312"/>
          <w:color w:val="333333"/>
          <w:sz w:val="32"/>
          <w:szCs w:val="32"/>
          <w:shd w:val="clear" w:color="auto" w:fill="FFFFFF"/>
        </w:rPr>
        <w:t xml:space="preserve">　对跨行政区域的涉嫌非法集资行为，非法集资人</w:t>
      </w:r>
      <w:r>
        <w:rPr>
          <w:rFonts w:ascii="仿宋_GB2312" w:eastAsia="仿宋_GB2312" w:hAnsi="仿宋_GB2312" w:cs="仿宋_GB2312"/>
          <w:color w:val="333333"/>
          <w:sz w:val="32"/>
          <w:szCs w:val="32"/>
          <w:shd w:val="clear" w:color="auto" w:fill="FFFFFF"/>
        </w:rPr>
        <w:lastRenderedPageBreak/>
        <w:t>为单位的，由其登记地处置非法集资牵头部门组织调查认定；非法集资人为个人的，由其住所地或者经常居住地处置非法集资牵头部门组织调查认定。非法集资行为发生地、集资资产所在地以及集资参与人所在地处置非法集资牵头部门应当配合调查认定工作。</w:t>
      </w:r>
    </w:p>
    <w:p w14:paraId="3B312B04"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处置非法集资牵头部门对组织调查认定职责存在争议的，由其共同的上级处置非法集资牵头部门确定；对跨省、自治区、直辖市组织调查认定职责存在争议的，由联席会议确定。</w:t>
      </w:r>
    </w:p>
    <w:p w14:paraId="684C00C2"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第二十一条</w:t>
      </w:r>
      <w:r>
        <w:rPr>
          <w:rFonts w:ascii="仿宋_GB2312" w:eastAsia="仿宋_GB2312" w:hAnsi="仿宋_GB2312" w:cs="仿宋_GB2312"/>
          <w:color w:val="333333"/>
          <w:sz w:val="32"/>
          <w:szCs w:val="32"/>
          <w:shd w:val="clear" w:color="auto" w:fill="FFFFFF"/>
        </w:rPr>
        <w:t xml:space="preserve">　处置非法集资牵头部门组织调查涉嫌非法集资行为，可以采取下列措施：</w:t>
      </w:r>
    </w:p>
    <w:p w14:paraId="46C5F72E"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（一）进入涉嫌非法集资的场所进行调查取证；</w:t>
      </w:r>
    </w:p>
    <w:p w14:paraId="33A87E59"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（二）询问与被调查事件有关的单位和个人，要求其对有关事项</w:t>
      </w:r>
      <w:proofErr w:type="gramStart"/>
      <w:r>
        <w:rPr>
          <w:rFonts w:ascii="仿宋_GB2312" w:eastAsia="仿宋_GB2312" w:hAnsi="仿宋_GB2312" w:cs="仿宋_GB2312"/>
          <w:color w:val="333333"/>
          <w:sz w:val="32"/>
          <w:szCs w:val="32"/>
          <w:shd w:val="clear" w:color="auto" w:fill="FFFFFF"/>
        </w:rPr>
        <w:t>作出</w:t>
      </w:r>
      <w:proofErr w:type="gramEnd"/>
      <w:r>
        <w:rPr>
          <w:rFonts w:ascii="仿宋_GB2312" w:eastAsia="仿宋_GB2312" w:hAnsi="仿宋_GB2312" w:cs="仿宋_GB2312"/>
          <w:color w:val="333333"/>
          <w:sz w:val="32"/>
          <w:szCs w:val="32"/>
          <w:shd w:val="clear" w:color="auto" w:fill="FFFFFF"/>
        </w:rPr>
        <w:t>说明；</w:t>
      </w:r>
    </w:p>
    <w:p w14:paraId="6203DF9E"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（三）查阅、复制与被调查事件有关的文件、资料、电子数据等，对可能被转移、隐匿或者毁损的文件、资料、电子设备等予以封存；</w:t>
      </w:r>
    </w:p>
    <w:p w14:paraId="49A68E95"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（四）经处置非法集资牵头部门主要负责人批准，依法查询涉嫌非法集资的有关账户。</w:t>
      </w:r>
    </w:p>
    <w:p w14:paraId="15B8D056"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调查人员不得少于2人，并应当出示执法证件。</w:t>
      </w:r>
    </w:p>
    <w:p w14:paraId="6E1D1D6D"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与被调查事件有关的单位和个人应当配合调查，不得拒绝、</w:t>
      </w:r>
      <w:r>
        <w:rPr>
          <w:rFonts w:ascii="仿宋_GB2312" w:eastAsia="仿宋_GB2312" w:hAnsi="仿宋_GB2312" w:cs="仿宋_GB2312"/>
          <w:color w:val="333333"/>
          <w:sz w:val="32"/>
          <w:szCs w:val="32"/>
          <w:shd w:val="clear" w:color="auto" w:fill="FFFFFF"/>
        </w:rPr>
        <w:lastRenderedPageBreak/>
        <w:t>阻碍。</w:t>
      </w:r>
    </w:p>
    <w:p w14:paraId="6DFEC28D"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第二十二条</w:t>
      </w:r>
      <w:r>
        <w:rPr>
          <w:rFonts w:ascii="仿宋_GB2312" w:eastAsia="仿宋_GB2312" w:hAnsi="仿宋_GB2312" w:cs="仿宋_GB2312"/>
          <w:color w:val="333333"/>
          <w:sz w:val="32"/>
          <w:szCs w:val="32"/>
          <w:shd w:val="clear" w:color="auto" w:fill="FFFFFF"/>
        </w:rPr>
        <w:t xml:space="preserve">　处置非法集资牵头部门对涉嫌非法集资行为组织调查，有权要求暂停集资行为，通知市场监督管理部门或者其他有关部门暂停为涉嫌非法集资的有关单位办理设立、变更或者注销登记。</w:t>
      </w:r>
    </w:p>
    <w:p w14:paraId="617A810C"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第二十三条</w:t>
      </w:r>
      <w:r>
        <w:rPr>
          <w:rFonts w:ascii="仿宋_GB2312" w:eastAsia="仿宋_GB2312" w:hAnsi="仿宋_GB2312" w:cs="仿宋_GB2312"/>
          <w:color w:val="333333"/>
          <w:sz w:val="32"/>
          <w:szCs w:val="32"/>
          <w:shd w:val="clear" w:color="auto" w:fill="FFFFFF"/>
        </w:rPr>
        <w:t xml:space="preserve">　经调查认定属于非法集资的，处置非法集资牵头部门应当责令非法集资人、非法集资协助人立即停止有关非法活动；发现涉嫌犯罪的，应当按照规定及时将案件移送公安机关，并配合做好相关工作。</w:t>
      </w:r>
    </w:p>
    <w:p w14:paraId="33B5A3DE"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行政机关对非法集资行为的调查认定，不是依法追究刑事责任的必经程序。</w:t>
      </w:r>
    </w:p>
    <w:p w14:paraId="5A5C54D0"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第二十四条</w:t>
      </w:r>
      <w:r>
        <w:rPr>
          <w:rFonts w:ascii="仿宋_GB2312" w:eastAsia="仿宋_GB2312" w:hAnsi="仿宋_GB2312" w:cs="仿宋_GB2312"/>
          <w:color w:val="333333"/>
          <w:sz w:val="32"/>
          <w:szCs w:val="32"/>
          <w:shd w:val="clear" w:color="auto" w:fill="FFFFFF"/>
        </w:rPr>
        <w:t xml:space="preserve">　根据处置非法集资的需要，处置非法集资牵头部门可以采取下列措施：</w:t>
      </w:r>
    </w:p>
    <w:p w14:paraId="232E8F3F"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（一）查封有关经营场所，查封、扣押有关资产；</w:t>
      </w:r>
    </w:p>
    <w:p w14:paraId="4C3A3C01"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（二）责令非法集资人、非法集资协助人追回、变价出售有关资产用于清退集资资金；</w:t>
      </w:r>
    </w:p>
    <w:p w14:paraId="711CBD37"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三）经设区的市级以上地方人民政府处置非法集资牵头部门决定，按照规定通知出入境边防检查机关，限制非法集资的个人或者非法集资单位的控股股东、实际控制人、董事、监事、高级管理人员以及其他直接责任人员出境。</w:t>
      </w:r>
    </w:p>
    <w:p w14:paraId="7693D26D"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lastRenderedPageBreak/>
        <w:t>采取前款第一项、第二项规定的措施，应当经处置非法集资牵头部门主要负责人批准。</w:t>
      </w:r>
    </w:p>
    <w:p w14:paraId="1FFC8BB9"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第二十五条</w:t>
      </w:r>
      <w:r>
        <w:rPr>
          <w:rFonts w:ascii="仿宋_GB2312" w:eastAsia="仿宋_GB2312" w:hAnsi="仿宋_GB2312" w:cs="仿宋_GB2312"/>
          <w:color w:val="333333"/>
          <w:sz w:val="32"/>
          <w:szCs w:val="32"/>
          <w:shd w:val="clear" w:color="auto" w:fill="FFFFFF"/>
        </w:rPr>
        <w:t xml:space="preserve">　非法集资人、非法集资协助人应当向集资参与人清退集资资金。清退过程应当接受处置非法集资牵头部门监督。</w:t>
      </w:r>
    </w:p>
    <w:p w14:paraId="3688EFE1"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任何单位和个人不得从非法集资中获取经济利益。</w:t>
      </w:r>
    </w:p>
    <w:p w14:paraId="3E676301"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因参与非法集资受到的损失，由集资参与人自行承担。</w:t>
      </w:r>
    </w:p>
    <w:p w14:paraId="1F4DF628"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第二十六条</w:t>
      </w:r>
      <w:r>
        <w:rPr>
          <w:rFonts w:ascii="仿宋_GB2312" w:eastAsia="仿宋_GB2312" w:hAnsi="仿宋_GB2312" w:cs="仿宋_GB2312"/>
          <w:color w:val="333333"/>
          <w:sz w:val="32"/>
          <w:szCs w:val="32"/>
          <w:shd w:val="clear" w:color="auto" w:fill="FFFFFF"/>
        </w:rPr>
        <w:t xml:space="preserve">　清退集资资金来源包括：</w:t>
      </w:r>
    </w:p>
    <w:p w14:paraId="0CE91960"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（一）非法集资资金余额；</w:t>
      </w:r>
    </w:p>
    <w:p w14:paraId="657F3E3B"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（二）非法集资资金的收益或者转换的其他资产及其收益；</w:t>
      </w:r>
    </w:p>
    <w:p w14:paraId="5D834CC7"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（三）非法集资人及其股东、实际控制人、董事、监事、高级管理人员和其他相关人员从非法集资中获得的经济利益；</w:t>
      </w:r>
    </w:p>
    <w:p w14:paraId="112544FD"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（四）非法集资人隐匿、转移的非法集资资金或者相关资产；</w:t>
      </w:r>
    </w:p>
    <w:p w14:paraId="5DD45774"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（五）在非法集资中获得的广告费、代言费、代理费、好处费、</w:t>
      </w:r>
      <w:proofErr w:type="gramStart"/>
      <w:r>
        <w:rPr>
          <w:rFonts w:ascii="仿宋_GB2312" w:eastAsia="仿宋_GB2312" w:hAnsi="仿宋_GB2312" w:cs="仿宋_GB2312"/>
          <w:color w:val="333333"/>
          <w:sz w:val="32"/>
          <w:szCs w:val="32"/>
          <w:shd w:val="clear" w:color="auto" w:fill="FFFFFF"/>
        </w:rPr>
        <w:t>返点费</w:t>
      </w:r>
      <w:proofErr w:type="gramEnd"/>
      <w:r>
        <w:rPr>
          <w:rFonts w:ascii="仿宋_GB2312" w:eastAsia="仿宋_GB2312" w:hAnsi="仿宋_GB2312" w:cs="仿宋_GB2312"/>
          <w:color w:val="333333"/>
          <w:sz w:val="32"/>
          <w:szCs w:val="32"/>
          <w:shd w:val="clear" w:color="auto" w:fill="FFFFFF"/>
        </w:rPr>
        <w:t>、佣金、提成等经济利益；</w:t>
      </w:r>
    </w:p>
    <w:p w14:paraId="362BEA2A"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（六）可以作为清退集资资金的其他资产。</w:t>
      </w:r>
    </w:p>
    <w:p w14:paraId="4DC30BBF"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第二十七条</w:t>
      </w:r>
      <w:r>
        <w:rPr>
          <w:rFonts w:ascii="仿宋_GB2312" w:eastAsia="仿宋_GB2312" w:hAnsi="仿宋_GB2312" w:cs="仿宋_GB2312"/>
          <w:color w:val="333333"/>
          <w:sz w:val="32"/>
          <w:szCs w:val="32"/>
          <w:shd w:val="clear" w:color="auto" w:fill="FFFFFF"/>
        </w:rPr>
        <w:t xml:space="preserve">　为非法集资设立的企业、个体工商户和农民专业合作社，由市场监督管理部门吊销营业执照。为非法集资设立的网站、开发的移动应用程序等互联网应用，由电信主管部门依法予以关闭。</w:t>
      </w:r>
    </w:p>
    <w:p w14:paraId="4EA68AF5"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lastRenderedPageBreak/>
        <w:t>第二十八条</w:t>
      </w:r>
      <w:r>
        <w:rPr>
          <w:rFonts w:ascii="仿宋_GB2312" w:eastAsia="仿宋_GB2312" w:hAnsi="仿宋_GB2312" w:cs="仿宋_GB2312"/>
          <w:color w:val="333333"/>
          <w:sz w:val="32"/>
          <w:szCs w:val="32"/>
          <w:shd w:val="clear" w:color="auto" w:fill="FFFFFF"/>
        </w:rPr>
        <w:t xml:space="preserve">　国务院金融管理部门及其分支机构、派出机构，地方人民政府有关部门以及其他有关单位和个人，对处置非法集资工作应当给予支持、配合。</w:t>
      </w:r>
    </w:p>
    <w:p w14:paraId="662DBA69"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任何单位和个人不得阻挠、妨碍处置非法集资工作。</w:t>
      </w:r>
    </w:p>
    <w:p w14:paraId="75AF376C" w14:textId="3813F3EA"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第二十九条</w:t>
      </w:r>
      <w:r>
        <w:rPr>
          <w:rFonts w:ascii="仿宋_GB2312" w:eastAsia="仿宋_GB2312" w:hAnsi="仿宋_GB2312" w:cs="仿宋_GB2312"/>
          <w:color w:val="333333"/>
          <w:sz w:val="32"/>
          <w:szCs w:val="32"/>
          <w:shd w:val="clear" w:color="auto" w:fill="FFFFFF"/>
        </w:rPr>
        <w:t xml:space="preserve">　处置非法集资过程中，有关地方人民政府应当采取有效措施维护社会稳定。</w:t>
      </w:r>
    </w:p>
    <w:p w14:paraId="130D4851" w14:textId="70812329" w:rsidR="007C58FD" w:rsidRDefault="00360A0F" w:rsidP="00E866B7">
      <w:pPr>
        <w:pStyle w:val="2"/>
        <w:rPr>
          <w:rFonts w:ascii="仿宋_GB2312" w:eastAsia="仿宋_GB2312" w:hAnsi="仿宋_GB2312" w:cs="仿宋_GB2312"/>
          <w:color w:val="333333"/>
        </w:rPr>
      </w:pPr>
      <w:r>
        <w:rPr>
          <w:rFonts w:ascii="仿宋_GB2312" w:hAnsi="仿宋_GB2312" w:cs="仿宋_GB2312" w:hint="eastAsia"/>
          <w:color w:val="333333"/>
          <w:shd w:val="clear" w:color="auto" w:fill="FFFFFF"/>
        </w:rPr>
        <w:t>第四章　法律责任</w:t>
      </w:r>
    </w:p>
    <w:p w14:paraId="7F9C04D1"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第三十条</w:t>
      </w:r>
      <w:r>
        <w:rPr>
          <w:rFonts w:ascii="仿宋_GB2312" w:eastAsia="仿宋_GB2312" w:hAnsi="仿宋_GB2312" w:cs="仿宋_GB2312"/>
          <w:color w:val="333333"/>
          <w:sz w:val="32"/>
          <w:szCs w:val="32"/>
          <w:shd w:val="clear" w:color="auto" w:fill="FFFFFF"/>
        </w:rPr>
        <w:t xml:space="preserve">　对非法集资人，由处置非法集资牵头部门处集资金额20%以上1倍以下的罚款。非法集资人为单位的，还可以根据情节轻重责令停产停业，由有关机关依法吊销许可证、营业执照或者登记证书；对其法定代表人或者主要负责人、直接负责的主管人员和其他直接责任人员给予警告，处50万元以上500万元以下的罚款。构成犯罪的，依法追究刑事责任。</w:t>
      </w:r>
    </w:p>
    <w:p w14:paraId="1F71CB60"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第三十一条</w:t>
      </w:r>
      <w:r>
        <w:rPr>
          <w:rFonts w:ascii="仿宋_GB2312" w:eastAsia="仿宋_GB2312" w:hAnsi="仿宋_GB2312" w:cs="仿宋_GB2312"/>
          <w:color w:val="333333"/>
          <w:sz w:val="32"/>
          <w:szCs w:val="32"/>
          <w:shd w:val="clear" w:color="auto" w:fill="FFFFFF"/>
        </w:rPr>
        <w:t xml:space="preserve">　对非法集资协助人，由处置非法集资牵头部门给予警告，处违法所得1倍以上3倍以下的罚款；构成犯罪的，依法追究刑事责任。</w:t>
      </w:r>
    </w:p>
    <w:p w14:paraId="6B93E8AE"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第三十二条</w:t>
      </w:r>
      <w:r>
        <w:rPr>
          <w:rFonts w:ascii="仿宋_GB2312" w:eastAsia="仿宋_GB2312" w:hAnsi="仿宋_GB2312" w:cs="仿宋_GB2312"/>
          <w:color w:val="333333"/>
          <w:sz w:val="32"/>
          <w:szCs w:val="32"/>
          <w:shd w:val="clear" w:color="auto" w:fill="FFFFFF"/>
        </w:rPr>
        <w:t xml:space="preserve">　非法集资人、非法集资协助人不能同时履行所承担的清退集资资金和缴纳罚款义务时，先清退集资资金。</w:t>
      </w:r>
    </w:p>
    <w:p w14:paraId="24524E01"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第三十三条</w:t>
      </w:r>
      <w:r>
        <w:rPr>
          <w:rFonts w:ascii="仿宋_GB2312" w:eastAsia="仿宋_GB2312" w:hAnsi="仿宋_GB2312" w:cs="仿宋_GB2312"/>
          <w:color w:val="333333"/>
          <w:sz w:val="32"/>
          <w:szCs w:val="32"/>
          <w:shd w:val="clear" w:color="auto" w:fill="FFFFFF"/>
        </w:rPr>
        <w:t xml:space="preserve">　对依照本条例受到行政处罚的非法集资人、非</w:t>
      </w:r>
      <w:r>
        <w:rPr>
          <w:rFonts w:ascii="仿宋_GB2312" w:eastAsia="仿宋_GB2312" w:hAnsi="仿宋_GB2312" w:cs="仿宋_GB2312"/>
          <w:color w:val="333333"/>
          <w:sz w:val="32"/>
          <w:szCs w:val="32"/>
          <w:shd w:val="clear" w:color="auto" w:fill="FFFFFF"/>
        </w:rPr>
        <w:lastRenderedPageBreak/>
        <w:t>法集资协助人，由有关部门建立信用记录，按照规定将其信用记录纳入全国信用信息共享平台。</w:t>
      </w:r>
    </w:p>
    <w:p w14:paraId="04873A55"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第三十四条</w:t>
      </w:r>
      <w:r>
        <w:rPr>
          <w:rFonts w:ascii="仿宋_GB2312" w:eastAsia="仿宋_GB2312" w:hAnsi="仿宋_GB2312" w:cs="仿宋_GB2312"/>
          <w:color w:val="333333"/>
          <w:sz w:val="32"/>
          <w:szCs w:val="32"/>
          <w:shd w:val="clear" w:color="auto" w:fill="FFFFFF"/>
        </w:rPr>
        <w:t xml:space="preserve">　互联网信息服务提供者未履行对涉嫌非法集资信息的防范和处置义务的，由有关主管部门责令改正，给予警告，没收违法所得；拒不改正或者情节严重的，处10万元以上50万元以下的罚款，并可以根据情节轻重责令暂停相关业务、停业整顿、关闭网站、吊销相关业务许可证或者吊销营业执照，对直接负责的主管人员和其他直接责任人员处1万元以上10万元以下的罚款。</w:t>
      </w:r>
    </w:p>
    <w:p w14:paraId="52D58AAC"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广告经营者、广告发布者未按照规定查验相关证明文件、核对广告内容的，由市场监督管理部门责令改正，并依照《中华人民共和国广告法》的规定予以处罚。</w:t>
      </w:r>
    </w:p>
    <w:p w14:paraId="6535C060"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第三十五条</w:t>
      </w:r>
      <w:r>
        <w:rPr>
          <w:rFonts w:ascii="仿宋_GB2312" w:eastAsia="仿宋_GB2312" w:hAnsi="仿宋_GB2312" w:cs="仿宋_GB2312"/>
          <w:color w:val="333333"/>
          <w:sz w:val="32"/>
          <w:szCs w:val="32"/>
          <w:shd w:val="clear" w:color="auto" w:fill="FFFFFF"/>
        </w:rPr>
        <w:t xml:space="preserve">　金融机构、非银行支付机构未履行防范非法集资义务的，由国务院金融管理部门或者其分支机构、派出机构按照职责分工责令改正，给予警告，没收违法所得；造成严重后果的，处100万元以上500万元以下的罚款，对直接负责的主管人员和其他直接责任人员给予警告，处10万元以上50万元以下的罚款。</w:t>
      </w:r>
    </w:p>
    <w:p w14:paraId="5A21FF2F"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第三十六条</w:t>
      </w:r>
      <w:r>
        <w:rPr>
          <w:rFonts w:ascii="仿宋_GB2312" w:eastAsia="仿宋_GB2312" w:hAnsi="仿宋_GB2312" w:cs="仿宋_GB2312"/>
          <w:color w:val="333333"/>
          <w:sz w:val="32"/>
          <w:szCs w:val="32"/>
          <w:shd w:val="clear" w:color="auto" w:fill="FFFFFF"/>
        </w:rPr>
        <w:t xml:space="preserve">　与被调查事件有关的单位和个人不配合调查，拒绝提供相关文件、资料、电子数据等或者提供虚假文件、资料、</w:t>
      </w:r>
      <w:r>
        <w:rPr>
          <w:rFonts w:ascii="仿宋_GB2312" w:eastAsia="仿宋_GB2312" w:hAnsi="仿宋_GB2312" w:cs="仿宋_GB2312"/>
          <w:color w:val="333333"/>
          <w:sz w:val="32"/>
          <w:szCs w:val="32"/>
          <w:shd w:val="clear" w:color="auto" w:fill="FFFFFF"/>
        </w:rPr>
        <w:lastRenderedPageBreak/>
        <w:t>电子数据等的，由处置非法集资牵头部门责令改正，给予警告，处5万元以上50万元以下的罚款。</w:t>
      </w:r>
    </w:p>
    <w:p w14:paraId="6547A5E2"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阻碍调查人员依法执行职务，构成违反治安管理行为的，由公安机关依法给予治安管理处罚；构成犯罪的，依法追究刑事责任。</w:t>
      </w:r>
    </w:p>
    <w:p w14:paraId="08B3B9F4"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第三十七条</w:t>
      </w:r>
      <w:r>
        <w:rPr>
          <w:rFonts w:ascii="仿宋_GB2312" w:eastAsia="仿宋_GB2312" w:hAnsi="仿宋_GB2312" w:cs="仿宋_GB2312"/>
          <w:color w:val="333333"/>
          <w:sz w:val="32"/>
          <w:szCs w:val="32"/>
          <w:shd w:val="clear" w:color="auto" w:fill="FFFFFF"/>
        </w:rPr>
        <w:t xml:space="preserve">　国家机关工作人员有下列行为之一的，依法给予处分：</w:t>
      </w:r>
    </w:p>
    <w:p w14:paraId="71F179DD"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（一）明知所主管、监管的单位有涉嫌非法集资行为，未依法及时处理；</w:t>
      </w:r>
    </w:p>
    <w:p w14:paraId="57DD0447"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（二）未按照规定及时履行对非法集资的防范职责，或者不配合非法集资处置，造成严重后果；</w:t>
      </w:r>
    </w:p>
    <w:p w14:paraId="54F9EE56"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（三）在防范和处置非法集资过程中滥用职权、玩忽职守、徇私舞弊；</w:t>
      </w:r>
    </w:p>
    <w:p w14:paraId="13392B38"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（四）通过职务行为或者利用职务影响，支持、包庇、纵容非法集资。</w:t>
      </w:r>
    </w:p>
    <w:p w14:paraId="733DBAD7" w14:textId="41A23A41"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前款规定的行为构成犯罪的，依法追究刑事责任。</w:t>
      </w:r>
    </w:p>
    <w:p w14:paraId="02BC202D" w14:textId="27BE1116" w:rsidR="007C58FD" w:rsidRDefault="00360A0F" w:rsidP="00E866B7">
      <w:pPr>
        <w:pStyle w:val="2"/>
        <w:rPr>
          <w:rFonts w:ascii="仿宋_GB2312" w:eastAsia="仿宋_GB2312" w:hAnsi="仿宋_GB2312" w:cs="仿宋_GB2312"/>
          <w:color w:val="333333"/>
        </w:rPr>
      </w:pPr>
      <w:r>
        <w:rPr>
          <w:rFonts w:ascii="仿宋_GB2312" w:hAnsi="仿宋_GB2312" w:cs="仿宋_GB2312" w:hint="eastAsia"/>
          <w:color w:val="333333"/>
          <w:shd w:val="clear" w:color="auto" w:fill="FFFFFF"/>
        </w:rPr>
        <w:t>第五章　附　　则</w:t>
      </w:r>
    </w:p>
    <w:p w14:paraId="062B1A25"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t>第三十八条</w:t>
      </w:r>
      <w:r>
        <w:rPr>
          <w:rFonts w:ascii="仿宋_GB2312" w:eastAsia="仿宋_GB2312" w:hAnsi="仿宋_GB2312" w:cs="仿宋_GB2312"/>
          <w:color w:val="333333"/>
          <w:sz w:val="32"/>
          <w:szCs w:val="32"/>
          <w:shd w:val="clear" w:color="auto" w:fill="FFFFFF"/>
        </w:rPr>
        <w:t xml:space="preserve">　各省、自治区、直辖市可以根据本条例制定防范和处置非法集资工作实施细则。</w:t>
      </w:r>
    </w:p>
    <w:p w14:paraId="3E96AEF9"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方正黑体_GBK" w:hAnsi="仿宋_GB2312" w:cs="仿宋_GB2312"/>
          <w:color w:val="333333"/>
          <w:sz w:val="32"/>
          <w:szCs w:val="32"/>
          <w:shd w:val="clear" w:color="auto" w:fill="FFFFFF"/>
        </w:rPr>
        <w:lastRenderedPageBreak/>
        <w:t>第三十九条</w:t>
      </w:r>
      <w:r>
        <w:rPr>
          <w:rFonts w:ascii="仿宋_GB2312" w:eastAsia="仿宋_GB2312" w:hAnsi="仿宋_GB2312" w:cs="仿宋_GB2312"/>
          <w:color w:val="333333"/>
          <w:sz w:val="32"/>
          <w:szCs w:val="32"/>
          <w:shd w:val="clear" w:color="auto" w:fill="FFFFFF"/>
        </w:rPr>
        <w:t xml:space="preserve">　未经依法许可或者违反国家金融管理规定，擅自从事发放贷款、支付结算、票据贴现等金融业务活动的，由国务院金融管理部门或者地方金融管理部门按照监督管理职责分工进行处置。</w:t>
      </w:r>
    </w:p>
    <w:p w14:paraId="35C35366"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color w:val="333333"/>
          <w:sz w:val="32"/>
          <w:szCs w:val="32"/>
        </w:rPr>
      </w:pPr>
      <w:r>
        <w:rPr>
          <w:rFonts w:ascii="仿宋_GB2312" w:eastAsia="仿宋_GB2312" w:hAnsi="仿宋_GB2312" w:cs="仿宋_GB2312"/>
          <w:color w:val="333333"/>
          <w:sz w:val="32"/>
          <w:szCs w:val="32"/>
          <w:shd w:val="clear" w:color="auto" w:fill="FFFFFF"/>
        </w:rPr>
        <w:t>法律、行政法规对其他非法金融业务活动的防范和处置没有明确规定的，参照本条例的有关规定执行。其他非法金融业务活动的具体类型由国务院金融管理部门确定。</w:t>
      </w:r>
    </w:p>
    <w:p w14:paraId="21634F84" w14:textId="77777777" w:rsidR="007C58FD" w:rsidRDefault="00360A0F" w:rsidP="00E866B7">
      <w:pPr>
        <w:pStyle w:val="ae"/>
        <w:widowControl w:val="0"/>
        <w:spacing w:beforeAutospacing="0" w:afterAutospacing="0"/>
        <w:ind w:firstLineChars="200" w:firstLine="640"/>
        <w:jc w:val="both"/>
        <w:rPr>
          <w:rFonts w:ascii="仿宋_GB2312" w:eastAsia="仿宋_GB2312" w:hAnsi="仿宋_GB2312" w:cs="仿宋_GB2312" w:hint="default"/>
          <w:bCs/>
          <w:color w:val="333333"/>
          <w:sz w:val="32"/>
          <w:szCs w:val="32"/>
          <w:shd w:val="clear" w:color="auto" w:fill="FFFFFF"/>
          <w:lang w:bidi="ar"/>
        </w:rPr>
      </w:pPr>
      <w:r>
        <w:rPr>
          <w:rFonts w:ascii="仿宋_GB2312" w:eastAsia="方正黑体_GBK" w:hAnsi="仿宋_GB2312" w:cs="仿宋_GB2312"/>
          <w:color w:val="333333"/>
          <w:sz w:val="32"/>
          <w:szCs w:val="32"/>
          <w:shd w:val="clear" w:color="auto" w:fill="FFFFFF"/>
        </w:rPr>
        <w:t>第四十条</w:t>
      </w:r>
      <w:r>
        <w:rPr>
          <w:rFonts w:ascii="仿宋_GB2312" w:eastAsia="仿宋_GB2312" w:hAnsi="仿宋_GB2312" w:cs="仿宋_GB2312"/>
          <w:color w:val="333333"/>
          <w:sz w:val="32"/>
          <w:szCs w:val="32"/>
          <w:shd w:val="clear" w:color="auto" w:fill="FFFFFF"/>
        </w:rPr>
        <w:t xml:space="preserve">　本条例自2021年5月1日起施行。1998年7月13日国务院发布的《非法金融机构和非法金融业务活动取缔办法》同时废止。</w:t>
      </w:r>
    </w:p>
    <w:sectPr w:rsidR="007C58FD">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C59C1" w14:textId="77777777" w:rsidR="0024495A" w:rsidRDefault="0024495A">
      <w:r>
        <w:separator/>
      </w:r>
    </w:p>
  </w:endnote>
  <w:endnote w:type="continuationSeparator" w:id="0">
    <w:p w14:paraId="07D92B65" w14:textId="77777777" w:rsidR="0024495A" w:rsidRDefault="00244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script"/>
    <w:pitch w:val="default"/>
    <w:sig w:usb0="00000001" w:usb1="080E0000" w:usb2="0000000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1995B" w14:textId="77777777" w:rsidR="007C58FD" w:rsidRDefault="0024495A">
    <w:pPr>
      <w:pStyle w:val="a9"/>
    </w:pPr>
    <w:r>
      <w:pict w14:anchorId="2EC4C808">
        <v:shapetype id="_x0000_t202" coordsize="21600,21600" o:spt="202" path="m,l,21600r21600,l21600,xe">
          <v:stroke joinstyle="miter"/>
          <v:path gradientshapeok="t" o:connecttype="rect"/>
        </v:shapetype>
        <v:shape id="文本框 7" o:spid="_x0000_s2049" type="#_x0000_t202" style="position:absolute;margin-left:185.6pt;margin-top:0;width:2in;height:2in;z-index:251658240;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4E3AA7C8" w14:textId="77777777" w:rsidR="007C58FD" w:rsidRDefault="00360A0F">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- 10 -</w:t>
                </w:r>
                <w:r>
                  <w:rPr>
                    <w:rFonts w:hint="eastAsia"/>
                    <w:sz w:val="24"/>
                  </w:rPr>
                  <w:fldChar w:fldCharType="end"/>
                </w:r>
              </w:p>
            </w:txbxContent>
          </v:textbox>
          <w10:wrap anchorx="margin"/>
        </v:shape>
      </w:pic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61012" w14:textId="77777777" w:rsidR="0024495A" w:rsidRDefault="0024495A">
      <w:r>
        <w:separator/>
      </w:r>
    </w:p>
  </w:footnote>
  <w:footnote w:type="continuationSeparator" w:id="0">
    <w:p w14:paraId="6E1B18DE" w14:textId="77777777" w:rsidR="0024495A" w:rsidRDefault="002449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C679F8"/>
    <w:rsid w:val="00027AB2"/>
    <w:rsid w:val="000917B9"/>
    <w:rsid w:val="000A5459"/>
    <w:rsid w:val="000C4C92"/>
    <w:rsid w:val="000E1E0F"/>
    <w:rsid w:val="000E61BB"/>
    <w:rsid w:val="001070C3"/>
    <w:rsid w:val="001123A3"/>
    <w:rsid w:val="001308F7"/>
    <w:rsid w:val="001B30ED"/>
    <w:rsid w:val="001D2E61"/>
    <w:rsid w:val="001E555F"/>
    <w:rsid w:val="002232B1"/>
    <w:rsid w:val="002262E9"/>
    <w:rsid w:val="0024495A"/>
    <w:rsid w:val="00290D32"/>
    <w:rsid w:val="002C025D"/>
    <w:rsid w:val="002C3000"/>
    <w:rsid w:val="002E13E2"/>
    <w:rsid w:val="002F6361"/>
    <w:rsid w:val="003004CE"/>
    <w:rsid w:val="00360A0F"/>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42720"/>
    <w:rsid w:val="004617AB"/>
    <w:rsid w:val="00465FF6"/>
    <w:rsid w:val="00493FD3"/>
    <w:rsid w:val="00496A27"/>
    <w:rsid w:val="004E380A"/>
    <w:rsid w:val="00500522"/>
    <w:rsid w:val="00502210"/>
    <w:rsid w:val="005272D1"/>
    <w:rsid w:val="005505F3"/>
    <w:rsid w:val="005514B1"/>
    <w:rsid w:val="00574409"/>
    <w:rsid w:val="00574DA9"/>
    <w:rsid w:val="005F72E4"/>
    <w:rsid w:val="0060161F"/>
    <w:rsid w:val="0060279C"/>
    <w:rsid w:val="00604330"/>
    <w:rsid w:val="006405E2"/>
    <w:rsid w:val="006848F5"/>
    <w:rsid w:val="006F2D49"/>
    <w:rsid w:val="00723BD5"/>
    <w:rsid w:val="007259CF"/>
    <w:rsid w:val="00730ACC"/>
    <w:rsid w:val="00735841"/>
    <w:rsid w:val="00754610"/>
    <w:rsid w:val="00757E1B"/>
    <w:rsid w:val="00774219"/>
    <w:rsid w:val="0077596B"/>
    <w:rsid w:val="007953C3"/>
    <w:rsid w:val="007A2BEC"/>
    <w:rsid w:val="007C58FD"/>
    <w:rsid w:val="007C74E7"/>
    <w:rsid w:val="007E54CD"/>
    <w:rsid w:val="007E57E8"/>
    <w:rsid w:val="007E6D14"/>
    <w:rsid w:val="0082594C"/>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0669"/>
    <w:rsid w:val="00B31E84"/>
    <w:rsid w:val="00B3635C"/>
    <w:rsid w:val="00B66E1D"/>
    <w:rsid w:val="00B80941"/>
    <w:rsid w:val="00B9435F"/>
    <w:rsid w:val="00BC2466"/>
    <w:rsid w:val="00BC4671"/>
    <w:rsid w:val="00BD7AE1"/>
    <w:rsid w:val="00BE0B46"/>
    <w:rsid w:val="00C23820"/>
    <w:rsid w:val="00C44E90"/>
    <w:rsid w:val="00C603F7"/>
    <w:rsid w:val="00C679F8"/>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F7D69"/>
    <w:rsid w:val="00E149FA"/>
    <w:rsid w:val="00E21E2B"/>
    <w:rsid w:val="00E40DDC"/>
    <w:rsid w:val="00E44CB1"/>
    <w:rsid w:val="00E73B49"/>
    <w:rsid w:val="00E866B7"/>
    <w:rsid w:val="00EC63E9"/>
    <w:rsid w:val="00ED65AD"/>
    <w:rsid w:val="00F138B0"/>
    <w:rsid w:val="00F140AC"/>
    <w:rsid w:val="00F15116"/>
    <w:rsid w:val="00F2134E"/>
    <w:rsid w:val="00F22A95"/>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354568"/>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046ADB"/>
    <w:rsid w:val="65152017"/>
    <w:rsid w:val="65532802"/>
    <w:rsid w:val="65BF6566"/>
    <w:rsid w:val="665D25F4"/>
    <w:rsid w:val="66E50FB1"/>
    <w:rsid w:val="672323D3"/>
    <w:rsid w:val="674048E2"/>
    <w:rsid w:val="67D71794"/>
    <w:rsid w:val="67DE6474"/>
    <w:rsid w:val="68426F20"/>
    <w:rsid w:val="68715924"/>
    <w:rsid w:val="6A403C00"/>
    <w:rsid w:val="6B4C7D1B"/>
    <w:rsid w:val="6BB51AEB"/>
    <w:rsid w:val="6C267EB4"/>
    <w:rsid w:val="6CD653AF"/>
    <w:rsid w:val="6D1363D3"/>
    <w:rsid w:val="6D15429C"/>
    <w:rsid w:val="6D614426"/>
    <w:rsid w:val="6DA577A5"/>
    <w:rsid w:val="6DB8609B"/>
    <w:rsid w:val="6DB87D30"/>
    <w:rsid w:val="6E804287"/>
    <w:rsid w:val="6EB30283"/>
    <w:rsid w:val="6F605325"/>
    <w:rsid w:val="70817970"/>
    <w:rsid w:val="712B5699"/>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1A92CCD"/>
  <w15:docId w15:val="{C20473EB-B8C4-4101-8684-E86CCC03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BF9D41-670F-4BD6-AB74-C375A864F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877</Words>
  <Characters>5004</Characters>
  <Application>Microsoft Office Word</Application>
  <DocSecurity>0</DocSecurity>
  <Lines>41</Lines>
  <Paragraphs>11</Paragraphs>
  <ScaleCrop>false</ScaleCrop>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24</cp:revision>
  <cp:lastPrinted>2021-02-11T05:22:00Z</cp:lastPrinted>
  <dcterms:created xsi:type="dcterms:W3CDTF">2019-05-21T02:29:00Z</dcterms:created>
  <dcterms:modified xsi:type="dcterms:W3CDTF">2021-02-11T05:36:00Z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