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3" w:firstLineChars="200"/>
        <w:rPr>
          <w:rFonts w:ascii="Times New Roman" w:hAnsi="Times New Roman" w:eastAsia="仿宋_GB2312" w:cs="Times New Roman"/>
          <w:b/>
          <w:color w:val="FF0000"/>
          <w:sz w:val="32"/>
          <w:szCs w:val="32"/>
        </w:rPr>
      </w:pPr>
    </w:p>
    <w:p>
      <w:pPr>
        <w:pStyle w:val="10"/>
        <w:jc w:val="center"/>
        <w:rPr>
          <w:rFonts w:ascii="Times New Roman" w:hAnsi="Times New Roman" w:cs="Times New Roman"/>
          <w:sz w:val="32"/>
          <w:szCs w:val="32"/>
        </w:rPr>
      </w:pPr>
      <w:r>
        <w:rPr>
          <w:rFonts w:ascii="Times New Roman" w:hAnsi="Times New Roman" w:cs="Times New Roman"/>
          <w:sz w:val="44"/>
          <w:szCs w:val="44"/>
        </w:rPr>
        <w:t>基金会管理条例</w:t>
      </w:r>
    </w:p>
    <w:p>
      <w:pPr>
        <w:pStyle w:val="10"/>
        <w:ind w:firstLine="640" w:firstLineChars="200"/>
        <w:jc w:val="center"/>
        <w:rPr>
          <w:rFonts w:ascii="Times New Roman" w:hAnsi="Times New Roman" w:cs="Times New Roman"/>
          <w:sz w:val="32"/>
          <w:szCs w:val="32"/>
        </w:rPr>
      </w:pPr>
    </w:p>
    <w:p>
      <w:pPr>
        <w:pStyle w:val="10"/>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(2004年2月</w:t>
      </w:r>
      <w:r>
        <w:rPr>
          <w:rFonts w:hint="eastAsia" w:ascii="Times New Roman" w:hAnsi="Times New Roman" w:eastAsia="楷体_GB2312" w:cs="Times New Roman"/>
          <w:sz w:val="32"/>
          <w:szCs w:val="32"/>
          <w:lang w:val="en-US" w:eastAsia="zh-CN"/>
        </w:rPr>
        <w:t>11</w:t>
      </w:r>
      <w:r>
        <w:rPr>
          <w:rFonts w:ascii="Times New Roman" w:hAnsi="Times New Roman" w:eastAsia="楷体_GB2312" w:cs="Times New Roman"/>
          <w:sz w:val="32"/>
          <w:szCs w:val="32"/>
        </w:rPr>
        <w:t>日国务院第3</w:t>
      </w:r>
      <w:r>
        <w:rPr>
          <w:rFonts w:hint="eastAsia" w:ascii="Times New Roman" w:hAnsi="Times New Roman" w:eastAsia="楷体_GB2312" w:cs="Times New Roman"/>
          <w:sz w:val="32"/>
          <w:szCs w:val="32"/>
          <w:lang w:val="en-US" w:eastAsia="zh-CN"/>
        </w:rPr>
        <w:t>9</w:t>
      </w:r>
      <w:r>
        <w:rPr>
          <w:rFonts w:ascii="Times New Roman" w:hAnsi="Times New Roman" w:eastAsia="楷体_GB2312" w:cs="Times New Roman"/>
          <w:sz w:val="32"/>
          <w:szCs w:val="32"/>
        </w:rPr>
        <w:t>次常务会议通过　2004年3月8日中华人民共和国国务院令第400号公布　自2004年6月1日起施行)</w:t>
      </w:r>
    </w:p>
    <w:p>
      <w:pPr>
        <w:pStyle w:val="3"/>
        <w:rPr>
          <w:sz w:val="32"/>
          <w:szCs w:val="32"/>
        </w:rPr>
      </w:pPr>
      <w:bookmarkStart w:id="0" w:name="_GoBack"/>
      <w:bookmarkEnd w:id="0"/>
      <w:r>
        <w:rPr>
          <w:rFonts w:ascii="Times New Roman" w:hAnsi="Times New Roman" w:cs="Times New Roman"/>
          <w:sz w:val="32"/>
          <w:szCs w:val="32"/>
        </w:rP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为了规范基金会的组织和活动，维护基金会、捐赠人和受益人的合法权益，促进社会力量参与公益事业，制定本条例。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本条例所称基金会，是指利用自然人、法人或者其他组织捐赠的财产，以从事公益事业为目的，按照本条例的规定成立的非营利性法人。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基金会分为面向公众募捐的基金会(以下简称公募基金会)和不得面向公众募捐的基金会(以下简称非公募基金会)。公募基金会按照募捐的地域范围，分为全国性公募基金会和地方性公募基金会。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基金会必须遵守宪法、法律、法规、规章和国家政策，不得危害国家安全、统一和民族团结，不得违背社会公德。</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基金会依照章程从事公益活动，应当遵循公开、透明的原则。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国务院民政部门和省、自治区、直辖市人民政府民政部门是基金会的登记管理机关。</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国务院民政部门负责下列基金会、基金会代表机构的登记管理工作：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(一)全国性公募基金会；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(二)拟由非内地居民担任法定代表人的基金会；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(三)原始基金超过2000万元，发起人向国务院民政部门提出设立申请的非公募基金会；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(四)境外基金会在中国内地设立的代表机构。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省、自治区、直辖市人民政府民政部门负责本行政区域内地方性公募基金会和不属于前款规定情况的非公募基金会的登记管理工作。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国务院有关部门或者国务院授权的组织，是国务院民政部门登记的基金会、境外基金会代表机构的业务主管单位。</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省、自治区、直辖市人民政府有关部门或者省、自治区、直辖市人民政府授权的组织，是省、自治区、直辖市人民政府民政部门登记的基金会的业务主管单位。</w:t>
      </w:r>
    </w:p>
    <w:p>
      <w:pPr>
        <w:pStyle w:val="3"/>
        <w:bidi w:val="0"/>
      </w:pPr>
      <w:r>
        <w:t>第二章　设立、变更和注销</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设立基金会，应当具备下列条件：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(一)为特定的公益目的而设立；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(二)全国性公募基金会的原始基金不低于800万元人民币，地方性公募基金会的原始基金不低于400万元人民币，非公募基金会的原始基金不低于200万元人民币；原始基金必须为到账货币资金；</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(三)有规范的名称、章程、组织机构以及与其开展活动相适应的专职工作人员；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(四)有固定的住所；</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(五)能够独立承担民事责任。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申请设立基金会，申请人应当向登记管理机关提交下列文件：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(一)申请书；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(二)章程草案；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(三)验资证明和住所证明；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(四)理事名单、身份证明以及拟任理事长、副理事长、秘书长简历；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(五)业务主管单位同意设立的文件。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基金会章程必须明确基金会的公益性质，不得规定使特定自然人、法人或者其他组织受益的内容。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基金会章程应当载明下列事项：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(一)名称及住所；</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(二)设立宗旨和公益活动的业务范围；</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(三)原始基金数额；</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(四)理事会的组成、职权和议事规则，理事的资格、产生程序和任期；</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(五)法定代表人的职责；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(六)监事的职责、资格、产生程序和任期；</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(七)财务会计报告的编制、审定制度；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(八)财产的管理、使用制度；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(九)基金会的终止条件、程序和终止后财产的处理。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登记管理机关应当自收到本条例第九条所列全部有效文件之日起60日内，作出准予或者不予登记的决定。准予登记的，发给《基金会法人登记证书》；不予登记的，应当书面说明理由。</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基金会设立登记的事项包括：名称、住所、类型、宗旨、公益活动的业务范围、原始基金数额和法定代表人。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基金会拟设立分支机构、代表机构的，应当向原登记管理机关提出登记申请，并提交拟设机构的名称、住所和负责人等情况的文件。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登记管理机关应当自收到前款所列全部有效文件之日起60日内作出准予或者不予登记的决定。准予登记的，发给《基金会分支(代表)机构登记证书》；不予登记的，应当书面说明理由。</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基金会分支机构、基金会代表机构设立登记的事项包括：名称、住所、公益活动的业务范围和负责人。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基金会分支机构、基金会代表机构依据基金会的授权开展活动，不具有法人资格。</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境外基金会在中国内地设立代表机构，应当经有关业务主管单位同意后，向登记管理机关提交下列文件：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(一)申请书；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(二)基金会在境外依法登记成立的证明和基金会章程；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(三)拟设代表机构负责人身份证明及简历；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(四)住所证明；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(五)业务主管单位同意在中国内地设立代表机构的文件。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登记管理机关应当自收到前款所列全部有效文件之日起60日内，作出准予或者不予登记的决定。准予登记的，发给《境外基金会代表机构登记证书》；不予登记的，应当书面说明理由。</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境外基金会代表机构设立登记的事项包括：名称、住所、公益活动的业务范围和负责人。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境外基金会代表机构应当从事符合中国公益事业性质的公益活动。境外基金会对其在中国内地代表机构的民事行为，依照中国法律承担民事责任。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基金会、境外基金会代表机构依照本条例登记后，应当依法办理税务登记。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基金会、境外基金会代表机构，凭登记证书依法申请组织机构代码、刻制印章、开立银行账户。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基金会、境外基金会代表机构应当将组织机构代码、印章式样、银行账号以及税务登记证件复印件报登记管理机关备案。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基金会、基金会分支机构、基金会代表机构和境外基金会代表机构的登记事项需要变更的，应当向登记管理机关申请变更登记。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基金会修改章程，应当征得其业务主管单位的同意，并报登记管理机关核准。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基金会、境外基金会代表机构有下列情形之一的，应当向登记管理机关申请注销登记：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(一)按照章程规定终止的；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(二)无法按照章程规定的宗旨继续从事公益活动的；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(三)由于其他原因终止的。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w:t>
      </w:r>
      <w:r>
        <w:rPr>
          <w:rFonts w:ascii="Times New Roman" w:hAnsi="Times New Roman" w:eastAsia="仿宋_GB2312" w:cs="Times New Roman"/>
          <w:sz w:val="32"/>
          <w:szCs w:val="32"/>
        </w:rPr>
        <w:t>　基金会撤销其分支机构、代表机构的，应当向登记管理机关办理分支机构、代表机构的注销登记。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基金会注销的，其分支机构、代表机构同时注销。</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w:t>
      </w:r>
      <w:r>
        <w:rPr>
          <w:rFonts w:ascii="Times New Roman" w:hAnsi="Times New Roman" w:eastAsia="仿宋_GB2312" w:cs="Times New Roman"/>
          <w:sz w:val="32"/>
          <w:szCs w:val="32"/>
        </w:rPr>
        <w:t>　基金会在办理注销登记前，应当在登记管理机关、业务主管单位的指导下成立清算组织，完成清算工作。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基金会应当自清算结束之日起15日内向登记管理机关办理注销登记；在清算期间不得开展清算以外的活动。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w:t>
      </w:r>
      <w:r>
        <w:rPr>
          <w:rFonts w:ascii="Times New Roman" w:hAnsi="Times New Roman" w:eastAsia="仿宋_GB2312" w:cs="Times New Roman"/>
          <w:sz w:val="32"/>
          <w:szCs w:val="32"/>
        </w:rPr>
        <w:t>　基金会、基金会分支机构、基金会代表机构以及境外基金会代表机构的设立、变更、注销登记，由登记管理机关向社会公告。</w:t>
      </w:r>
    </w:p>
    <w:p>
      <w:pPr>
        <w:pStyle w:val="3"/>
        <w:bidi w:val="0"/>
      </w:pPr>
      <w:r>
        <w:t>第三章　组织机构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w:t>
      </w:r>
      <w:r>
        <w:rPr>
          <w:rFonts w:ascii="Times New Roman" w:hAnsi="Times New Roman" w:eastAsia="仿宋_GB2312" w:cs="Times New Roman"/>
          <w:sz w:val="32"/>
          <w:szCs w:val="32"/>
        </w:rPr>
        <w:t>　基金会设理事会，理事为5人至25人，理事任期由章程规定，但每届任期不得超过5年。理事任期届满，连选可以连任。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用私人财产设立的非公募基金会，相互间有近亲属关系的基金会理事，总数不得超过理事总人数的1/3；其他基金会，具有近亲属关系的不得同时在理事会任职。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在基金会领取报酬的理事不得超过理事总人数的1/3。</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理事会设理事长、副理事长和秘书长，从理事中选举产生，理事长是基金会的法定代表人。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w:t>
      </w:r>
      <w:r>
        <w:rPr>
          <w:rFonts w:ascii="Times New Roman" w:hAnsi="Times New Roman" w:eastAsia="仿宋_GB2312" w:cs="Times New Roman"/>
          <w:sz w:val="32"/>
          <w:szCs w:val="32"/>
        </w:rPr>
        <w:t>　理事会是基金会的决策机构，依法行使章程规定的职权。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理事会每年至少召开2次会议。理事会会议须有2/3以上理事出席方能召开；理事会决议须经出席理事过半数通过方为有效。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下列重要事项的决议，须经出席理事表决，2/3以上通过方为有效：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(一)章程的修改；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(二)选举或者罢免理事长、副理事长、秘书长；</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(三)章程规定的重大募捐、投资活动；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(四)基金会的分立、合并。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理事会会议应当制作会议记录，并由出席理事审阅、签名。</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w:t>
      </w:r>
      <w:r>
        <w:rPr>
          <w:rFonts w:ascii="Times New Roman" w:hAnsi="Times New Roman" w:eastAsia="仿宋_GB2312" w:cs="Times New Roman"/>
          <w:sz w:val="32"/>
          <w:szCs w:val="32"/>
        </w:rPr>
        <w:t>　基金会设监事。监事任期与理事任期相同。理事、理事的近亲属和基金会财会人员不得兼任监事。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监事依照章程规定的程序检查基金会财务和会计资料，监督理事会遵守法律和章程的情况。</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监事列席理事会会议，有权向理事会提出质询和建议，并应当向登记管理机关、业务主管单位以及税务、会计主管部门反映情况。</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w:t>
      </w:r>
      <w:r>
        <w:rPr>
          <w:rFonts w:ascii="Times New Roman" w:hAnsi="Times New Roman" w:eastAsia="仿宋_GB2312" w:cs="Times New Roman"/>
          <w:sz w:val="32"/>
          <w:szCs w:val="32"/>
        </w:rPr>
        <w:t>　基金会理事长、副理事长和秘书长不得由现职国家工作人员兼任。基金会的法定代表人，不得同时担任其他组织的法定代表人。公募基金会和原始基金来自中国内地的非公募基金会的法定代表人，应当由内地居民担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因犯罪被判处管制、拘役或者有期徒刑，刑期执行完毕之日起未逾5年的，因犯罪被判处剥夺政治权利正在执行期间或者曾经被判处剥夺政治权利的，以及曾在因违法被撤销登记的基金会担任理事长、副理事长或者秘书长，且对该基金会的违法行为负有个人责任，自该基金会被撤销之日起未逾5年的，不得担任基金会的理事长、副理事长或者秘书长。</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基金会理事遇有个人利益与基金会利益关联时，不得参与相关事宜的决策；基金会理事、监事及其近亲属不得与其所在的基金会有任何交易行为。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监事和未在基金会担任专职工作的理事不得从基金会获取报酬。</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w:t>
      </w:r>
      <w:r>
        <w:rPr>
          <w:rFonts w:ascii="Times New Roman" w:hAnsi="Times New Roman" w:eastAsia="仿宋_GB2312" w:cs="Times New Roman"/>
          <w:sz w:val="32"/>
          <w:szCs w:val="32"/>
        </w:rPr>
        <w:t>　担任基金会理事长、副理事长或者秘书长的香港居民、澳门居民、台湾居民、外国人以及境外基金会代表机构的负责人，每年在中国内地居留时间不得少于3个月。</w:t>
      </w:r>
    </w:p>
    <w:p>
      <w:pPr>
        <w:pStyle w:val="3"/>
        <w:bidi w:val="0"/>
      </w:pPr>
      <w:r>
        <w:t>第四章　财产的管理和使用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w:t>
      </w:r>
      <w:r>
        <w:rPr>
          <w:rFonts w:ascii="Times New Roman" w:hAnsi="Times New Roman" w:eastAsia="仿宋_GB2312" w:cs="Times New Roman"/>
          <w:sz w:val="32"/>
          <w:szCs w:val="32"/>
        </w:rPr>
        <w:t>　基金会组织募捐、接受捐赠，应当符合章程规定的宗旨和公益活动的业务范围。境外基金会代表机构不得在中国境内组织募捐、接受捐赠。</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公募基金会组织募捐，应当向社会公布募得资金后拟开展的公益活动和资金的详细使用计划。</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w:t>
      </w:r>
      <w:r>
        <w:rPr>
          <w:rFonts w:ascii="Times New Roman" w:hAnsi="Times New Roman" w:eastAsia="仿宋_GB2312" w:cs="Times New Roman"/>
          <w:sz w:val="32"/>
          <w:szCs w:val="32"/>
        </w:rPr>
        <w:t>　基金会及其捐赠人、受益人依照法律、行政法规的规定享受税收优惠。</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w:t>
      </w:r>
      <w:r>
        <w:rPr>
          <w:rFonts w:ascii="Times New Roman" w:hAnsi="Times New Roman" w:eastAsia="仿宋_GB2312" w:cs="Times New Roman"/>
          <w:sz w:val="32"/>
          <w:szCs w:val="32"/>
        </w:rPr>
        <w:t>　基金会的财产及其他收入受法律保护，任何单位和个人不得私分、侵占、挪用。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基金会应当根据章程规定的宗旨和公益活动的业务范围使用其财产；捐赠协议明确了具体使用方式的捐赠，根据捐赠协议的约定使用。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接受捐赠的物资无法用于符合其宗旨的用途时，基金会可以依法拍卖或者变卖，所得收入用于捐赠目的。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w:t>
      </w:r>
      <w:r>
        <w:rPr>
          <w:rFonts w:ascii="Times New Roman" w:hAnsi="Times New Roman" w:eastAsia="仿宋_GB2312" w:cs="Times New Roman"/>
          <w:sz w:val="32"/>
          <w:szCs w:val="32"/>
        </w:rPr>
        <w:t>　基金会应当按照合法、安全、有效的原则实现基金的保值、增值。</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w:t>
      </w:r>
      <w:r>
        <w:rPr>
          <w:rFonts w:ascii="Times New Roman" w:hAnsi="Times New Roman" w:eastAsia="仿宋_GB2312" w:cs="Times New Roman"/>
          <w:sz w:val="32"/>
          <w:szCs w:val="32"/>
        </w:rPr>
        <w:t>　公募基金会每年用于从事章程规定的公益事业支出，不得低于上一年总收入的70%；非公募基金会每年用于从事章程规定的公益事业支出，不得低于上一年基金余额的8%。</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基金会工作人员工资福利和行政办公支出不得超过当年总支出的10%。</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w:t>
      </w:r>
      <w:r>
        <w:rPr>
          <w:rFonts w:ascii="Times New Roman" w:hAnsi="Times New Roman" w:eastAsia="仿宋_GB2312" w:cs="Times New Roman"/>
          <w:sz w:val="32"/>
          <w:szCs w:val="32"/>
        </w:rPr>
        <w:t>　基金会开展公益资助项目，应当向社会公布所开展的公益资助项目种类以及申请、评审程序。</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w:t>
      </w:r>
      <w:r>
        <w:rPr>
          <w:rFonts w:ascii="Times New Roman" w:hAnsi="Times New Roman" w:eastAsia="仿宋_GB2312" w:cs="Times New Roman"/>
          <w:sz w:val="32"/>
          <w:szCs w:val="32"/>
        </w:rPr>
        <w:t>　基金会可以与受助人签订协议，约定资助方式、资助数额以及资金用途和使用方式。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基金会有权对资助的使用情况进行监督。受助人未按协议约定使用资助或者有其他违反协议情形的，基金会有权解除资助协议。</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w:t>
      </w:r>
      <w:r>
        <w:rPr>
          <w:rFonts w:ascii="Times New Roman" w:hAnsi="Times New Roman" w:eastAsia="仿宋_GB2312" w:cs="Times New Roman"/>
          <w:sz w:val="32"/>
          <w:szCs w:val="32"/>
        </w:rPr>
        <w:t>　基金会应当执行国家统一的会计制度，依法进行会计核算、建立健全内部会计监督制度。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w:t>
      </w:r>
      <w:r>
        <w:rPr>
          <w:rFonts w:ascii="Times New Roman" w:hAnsi="Times New Roman" w:eastAsia="仿宋_GB2312" w:cs="Times New Roman"/>
          <w:sz w:val="32"/>
          <w:szCs w:val="32"/>
        </w:rPr>
        <w:t>　基金会注销后的剩余财产应当按照章程的规定用于公益目的；无法按照章程规定处理的，由登记管理机关组织捐赠给与该基金会性质、宗旨相同的社会公益组织，并向社会公告。</w:t>
      </w:r>
    </w:p>
    <w:p>
      <w:pPr>
        <w:pStyle w:val="3"/>
        <w:bidi w:val="0"/>
      </w:pPr>
      <w:r>
        <w:t>第五章　监督管理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w:t>
      </w:r>
      <w:r>
        <w:rPr>
          <w:rFonts w:ascii="Times New Roman" w:hAnsi="Times New Roman" w:eastAsia="仿宋_GB2312" w:cs="Times New Roman"/>
          <w:sz w:val="32"/>
          <w:szCs w:val="32"/>
        </w:rPr>
        <w:t>　基金会登记管理机关履行下列监督管理职责：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(一)对基金会、境外基金会代表机构实施年度检查；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(二)对基金会、境外基金会代表机构依照本条例及其章程开展活动的情况进行日常监督管理；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(三)对基金会、境外基金会代表机构违反本条例的行为依法进行处罚。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w:t>
      </w:r>
      <w:r>
        <w:rPr>
          <w:rFonts w:ascii="Times New Roman" w:hAnsi="Times New Roman" w:eastAsia="仿宋_GB2312" w:cs="Times New Roman"/>
          <w:sz w:val="32"/>
          <w:szCs w:val="32"/>
        </w:rPr>
        <w:t>　基金会业务主管单位履行下列监督管理职责：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(一)指导、监督基金会、境外基金会代表机构依据法律和章程开展公益活动；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(二)负责基金会、境外基金会代表机构年度检查的初审；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(三)配合登记管理机关、其他执法部门查处基金会、境外基金会代表机构的违法行为。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w:t>
      </w:r>
      <w:r>
        <w:rPr>
          <w:rFonts w:ascii="Times New Roman" w:hAnsi="Times New Roman" w:eastAsia="仿宋_GB2312" w:cs="Times New Roman"/>
          <w:sz w:val="32"/>
          <w:szCs w:val="32"/>
        </w:rPr>
        <w:t>　基金会、境外基金会代表机构应当于每年3月31日前向登记管理机关报送上一年度工作报告，接受年度检查。年度工作报告在报送登记管理机关前应当经业务主管单位审查同意。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年度工作报告应当包括：财务会计报告、注册会计师审计报告，开展募捐、接受捐赠、提供资助等活动的情况以及人员和机构的变动情况等。</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w:t>
      </w:r>
      <w:r>
        <w:rPr>
          <w:rFonts w:ascii="Times New Roman" w:hAnsi="Times New Roman" w:eastAsia="仿宋_GB2312" w:cs="Times New Roman"/>
          <w:sz w:val="32"/>
          <w:szCs w:val="32"/>
        </w:rPr>
        <w:t>　基金会应当接受税务、会计主管部门依法实施的税务监督和会计监督。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基金会在换届和更换法定代表人之前，应当进行财务审计。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w:t>
      </w:r>
      <w:r>
        <w:rPr>
          <w:rFonts w:ascii="Times New Roman" w:hAnsi="Times New Roman" w:eastAsia="仿宋_GB2312" w:cs="Times New Roman"/>
          <w:sz w:val="32"/>
          <w:szCs w:val="32"/>
        </w:rPr>
        <w:t>　基金会、境外基金会代表机构应当在通过登记管理机关的年度检查后，将年度工作报告在登记管理机关指定的媒体上公布，接受社会公众的查询、监督。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w:t>
      </w:r>
      <w:r>
        <w:rPr>
          <w:rFonts w:ascii="Times New Roman" w:hAnsi="Times New Roman" w:eastAsia="仿宋_GB2312" w:cs="Times New Roman"/>
          <w:sz w:val="32"/>
          <w:szCs w:val="32"/>
        </w:rPr>
        <w:t>　捐赠人有权向基金会查询捐赠财产的使用、管理情况，并提出意见和建议。对于捐赠人的查询，基金会应当及时如实答复。</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基金会违反捐赠协议使用捐赠财产的，捐赠人有权要求基金会遵守捐赠协议或者向人民法院申请撤销捐赠行为、解除捐赠协议。</w:t>
      </w:r>
    </w:p>
    <w:p>
      <w:pPr>
        <w:pStyle w:val="3"/>
        <w:bidi w:val="0"/>
      </w:pPr>
      <w:r>
        <w:t>第六章　法律责任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w:t>
      </w:r>
      <w:r>
        <w:rPr>
          <w:rFonts w:ascii="Times New Roman" w:hAnsi="Times New Roman" w:eastAsia="仿宋_GB2312" w:cs="Times New Roman"/>
          <w:sz w:val="32"/>
          <w:szCs w:val="32"/>
        </w:rPr>
        <w:t>　未经登记或者被撤销登记后以基金会、基金会分支机构、基金会代表机构或者境外基金会代表机构名义开展活动的，由登记管理机关予以取缔，没收非法财产并向社会公告。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w:t>
      </w:r>
      <w:r>
        <w:rPr>
          <w:rFonts w:ascii="Times New Roman" w:hAnsi="Times New Roman" w:eastAsia="仿宋_GB2312" w:cs="Times New Roman"/>
          <w:sz w:val="32"/>
          <w:szCs w:val="32"/>
        </w:rPr>
        <w:t>　基金会、基金会分支机构、基金会代表机构或者境外基金会代表机构有下列情形之一的，登记管理机关应当撤销登记：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(一)在申请登记时弄虚作假骗取登记的，或者自取得登记证书之日起12个月内未按章程规定开展活动的；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(二)符合注销条件，不按照本条例的规定办理注销登记仍继续开展活动的。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w:t>
      </w:r>
      <w:r>
        <w:rPr>
          <w:rFonts w:ascii="Times New Roman" w:hAnsi="Times New Roman" w:eastAsia="仿宋_GB2312" w:cs="Times New Roman"/>
          <w:sz w:val="32"/>
          <w:szCs w:val="32"/>
        </w:rPr>
        <w:t>　基金会、基金会分支机构、基金会代表机构或者境外基金会代表机构有下列情形之一的，由登记管理机关给予警告、责令停止活动；情节严重的，可以撤销登记：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(一)未按照章程规定的宗旨和公益活动的业务范围进行活动的；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(二)在填制会计凭证、登记会计账簿、编制财务会计报告中弄虚作假的；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(三)不按照规定办理变更登记的；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(四)未按照本条例的规定完成公益事业支出额度的；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(五)未按照本条例的规定接受年度检查，或者年度检查不合格的；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(六)不履行信息公布义务或者公布虚假信息的。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基金会、境外基金会代表机构有前款所列行为的，登记管理机关应当提请税务机关责令补交违法行为存续期间所享受的税收减免。</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w:t>
      </w:r>
      <w:r>
        <w:rPr>
          <w:rFonts w:ascii="Times New Roman" w:hAnsi="Times New Roman" w:eastAsia="仿宋_GB2312" w:cs="Times New Roman"/>
          <w:sz w:val="32"/>
          <w:szCs w:val="32"/>
        </w:rPr>
        <w:t>　基金会理事会违反本条例和章程规定决策不当，致使基金会遭受财产损失的，参与决策的理事应当承担相应的赔偿责任。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基金会理事、监事以及专职工作人员私分、侵占、挪用基金会财产的，应当退还非法占用的财产；构成犯罪的，依法追究刑事责任。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第四十四条</w:t>
      </w:r>
      <w:r>
        <w:rPr>
          <w:rFonts w:ascii="Times New Roman" w:hAnsi="Times New Roman" w:eastAsia="仿宋_GB2312" w:cs="Times New Roman"/>
          <w:sz w:val="32"/>
          <w:szCs w:val="32"/>
        </w:rPr>
        <w:t>　基金会、境外基金会代表机构被责令停止活动的，由登记管理机关封存其登记证书、印章和财务凭证。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第四十五条</w:t>
      </w:r>
      <w:r>
        <w:rPr>
          <w:rFonts w:ascii="Times New Roman" w:hAnsi="Times New Roman" w:eastAsia="仿宋_GB2312" w:cs="Times New Roman"/>
          <w:sz w:val="32"/>
          <w:szCs w:val="32"/>
        </w:rPr>
        <w:t>　登记管理机关、业务主管单位工作人员滥用职权、玩忽职守、徇私舞弊，构成犯罪的，依法追究刑事责任；尚不构成犯罪的，依法给予行政处分或者纪律处分。</w:t>
      </w:r>
    </w:p>
    <w:p>
      <w:pPr>
        <w:pStyle w:val="3"/>
        <w:bidi w:val="0"/>
      </w:pPr>
      <w:r>
        <w:t>第七章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第四十六条</w:t>
      </w:r>
      <w:r>
        <w:rPr>
          <w:rFonts w:ascii="Times New Roman" w:hAnsi="Times New Roman" w:eastAsia="仿宋_GB2312" w:cs="Times New Roman"/>
          <w:sz w:val="32"/>
          <w:szCs w:val="32"/>
        </w:rPr>
        <w:t>　本条例所称境外基金会，是指在外国以及中华人民共和国香港特别行政区、澳门特别行政区和台湾地区合法成立的基金会。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第四十七条</w:t>
      </w:r>
      <w:r>
        <w:rPr>
          <w:rFonts w:ascii="Times New Roman" w:hAnsi="Times New Roman" w:eastAsia="仿宋_GB2312" w:cs="Times New Roman"/>
          <w:sz w:val="32"/>
          <w:szCs w:val="32"/>
        </w:rPr>
        <w:t>　基金会设立申请书、基金会年度工作报告的格式以及基金会章程范本，由国务院民政部门制订。</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第四十八条</w:t>
      </w:r>
      <w:r>
        <w:rPr>
          <w:rFonts w:ascii="Times New Roman" w:hAnsi="Times New Roman" w:eastAsia="仿宋_GB2312" w:cs="Times New Roman"/>
          <w:sz w:val="32"/>
          <w:szCs w:val="32"/>
        </w:rPr>
        <w:t>　本条例自2004年6月1日起施行，1988年9月27日国务院发布的《基金会管理办法》同时废止。</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lang w:eastAsia="zh-CN"/>
        </w:rPr>
      </w:pPr>
      <w:r>
        <w:rPr>
          <w:rFonts w:ascii="Times New Roman" w:hAnsi="Times New Roman" w:eastAsia="仿宋_GB2312" w:cs="Times New Roman"/>
          <w:sz w:val="32"/>
          <w:szCs w:val="32"/>
        </w:rPr>
        <w:t>本条例施行前已经设立的基金会、境外基金会代表机构，应当自本条例施行之日起6个月内，按照本条例的规定申请换发登记证书。</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9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AB304A"/>
    <w:rsid w:val="01CF6706"/>
    <w:rsid w:val="026D2287"/>
    <w:rsid w:val="02B836F8"/>
    <w:rsid w:val="03356D16"/>
    <w:rsid w:val="03985ADA"/>
    <w:rsid w:val="058213F7"/>
    <w:rsid w:val="0788080A"/>
    <w:rsid w:val="07B53B88"/>
    <w:rsid w:val="07E71367"/>
    <w:rsid w:val="08FF0C17"/>
    <w:rsid w:val="0963250F"/>
    <w:rsid w:val="097F7BAD"/>
    <w:rsid w:val="09B60066"/>
    <w:rsid w:val="0A8C2526"/>
    <w:rsid w:val="0AEB2A0D"/>
    <w:rsid w:val="0B3D0578"/>
    <w:rsid w:val="0D3C4224"/>
    <w:rsid w:val="0D610029"/>
    <w:rsid w:val="0DFE10B9"/>
    <w:rsid w:val="10A47D69"/>
    <w:rsid w:val="134A1994"/>
    <w:rsid w:val="136642BB"/>
    <w:rsid w:val="142327B5"/>
    <w:rsid w:val="14484CDF"/>
    <w:rsid w:val="155E2CB3"/>
    <w:rsid w:val="157124FD"/>
    <w:rsid w:val="174517D7"/>
    <w:rsid w:val="18413C16"/>
    <w:rsid w:val="198A0A54"/>
    <w:rsid w:val="19DB6C33"/>
    <w:rsid w:val="1BAF2172"/>
    <w:rsid w:val="1C9212F7"/>
    <w:rsid w:val="20D86240"/>
    <w:rsid w:val="21CE0F2E"/>
    <w:rsid w:val="22DD4281"/>
    <w:rsid w:val="253620CC"/>
    <w:rsid w:val="25F044FF"/>
    <w:rsid w:val="26CA1A3A"/>
    <w:rsid w:val="27680A3B"/>
    <w:rsid w:val="2834230D"/>
    <w:rsid w:val="28F8723D"/>
    <w:rsid w:val="2B01664D"/>
    <w:rsid w:val="2D644059"/>
    <w:rsid w:val="2DBE0D65"/>
    <w:rsid w:val="2DDE6B1E"/>
    <w:rsid w:val="2E1B43B4"/>
    <w:rsid w:val="2ED32E01"/>
    <w:rsid w:val="2FF20DF5"/>
    <w:rsid w:val="318138A8"/>
    <w:rsid w:val="320E2B0A"/>
    <w:rsid w:val="32252208"/>
    <w:rsid w:val="330D4027"/>
    <w:rsid w:val="3330356C"/>
    <w:rsid w:val="33CF5811"/>
    <w:rsid w:val="34031BBE"/>
    <w:rsid w:val="35095248"/>
    <w:rsid w:val="386D21AD"/>
    <w:rsid w:val="3A7915E5"/>
    <w:rsid w:val="3B1265AF"/>
    <w:rsid w:val="3BA0652C"/>
    <w:rsid w:val="3CA23060"/>
    <w:rsid w:val="3CDF39C7"/>
    <w:rsid w:val="3D762392"/>
    <w:rsid w:val="3DFC6899"/>
    <w:rsid w:val="3E3675FB"/>
    <w:rsid w:val="3F800236"/>
    <w:rsid w:val="3F8C783C"/>
    <w:rsid w:val="40DC5AC3"/>
    <w:rsid w:val="40F66CF8"/>
    <w:rsid w:val="40FE47B4"/>
    <w:rsid w:val="41B857FD"/>
    <w:rsid w:val="4361706F"/>
    <w:rsid w:val="43CA1521"/>
    <w:rsid w:val="444B0E8A"/>
    <w:rsid w:val="47A250A3"/>
    <w:rsid w:val="48AC4D69"/>
    <w:rsid w:val="494B3B16"/>
    <w:rsid w:val="49C224BB"/>
    <w:rsid w:val="4DC87E21"/>
    <w:rsid w:val="4E6A2FDF"/>
    <w:rsid w:val="4EDF3D2B"/>
    <w:rsid w:val="4EED79F5"/>
    <w:rsid w:val="5080370D"/>
    <w:rsid w:val="523F45D1"/>
    <w:rsid w:val="52695AB4"/>
    <w:rsid w:val="529D4C7B"/>
    <w:rsid w:val="53BF5C69"/>
    <w:rsid w:val="53DA0A43"/>
    <w:rsid w:val="55B865F8"/>
    <w:rsid w:val="55C0390E"/>
    <w:rsid w:val="55D520AC"/>
    <w:rsid w:val="566F7832"/>
    <w:rsid w:val="575D4E2E"/>
    <w:rsid w:val="58035B31"/>
    <w:rsid w:val="58F6185E"/>
    <w:rsid w:val="591257DC"/>
    <w:rsid w:val="5B066613"/>
    <w:rsid w:val="5B353B99"/>
    <w:rsid w:val="5C223266"/>
    <w:rsid w:val="5DB22BFD"/>
    <w:rsid w:val="5DD739B2"/>
    <w:rsid w:val="5E900D37"/>
    <w:rsid w:val="5F5011B7"/>
    <w:rsid w:val="5F88093C"/>
    <w:rsid w:val="60492E1B"/>
    <w:rsid w:val="61152047"/>
    <w:rsid w:val="620467BA"/>
    <w:rsid w:val="622D2BEC"/>
    <w:rsid w:val="62F60DE0"/>
    <w:rsid w:val="63DD0DD3"/>
    <w:rsid w:val="641F5EE8"/>
    <w:rsid w:val="649C0E8F"/>
    <w:rsid w:val="65532802"/>
    <w:rsid w:val="65BF6566"/>
    <w:rsid w:val="65FF0DFB"/>
    <w:rsid w:val="665D25F4"/>
    <w:rsid w:val="674048E2"/>
    <w:rsid w:val="68715924"/>
    <w:rsid w:val="6A403C00"/>
    <w:rsid w:val="6B4C7D1B"/>
    <w:rsid w:val="6C267EB4"/>
    <w:rsid w:val="6D1363D3"/>
    <w:rsid w:val="6D614426"/>
    <w:rsid w:val="6DA577A5"/>
    <w:rsid w:val="6DB87D30"/>
    <w:rsid w:val="6E804287"/>
    <w:rsid w:val="6EB30283"/>
    <w:rsid w:val="712B5699"/>
    <w:rsid w:val="746D1278"/>
    <w:rsid w:val="762C29D0"/>
    <w:rsid w:val="76975133"/>
    <w:rsid w:val="769B60FD"/>
    <w:rsid w:val="76C10F77"/>
    <w:rsid w:val="77D8678E"/>
    <w:rsid w:val="7814798C"/>
    <w:rsid w:val="7819740D"/>
    <w:rsid w:val="78ED2B64"/>
    <w:rsid w:val="7A224A32"/>
    <w:rsid w:val="7A4B0114"/>
    <w:rsid w:val="7A6D55E9"/>
    <w:rsid w:val="7ABD49CD"/>
    <w:rsid w:val="7BA85469"/>
    <w:rsid w:val="7C0E15E2"/>
    <w:rsid w:val="7C28250F"/>
    <w:rsid w:val="7CFB06AD"/>
    <w:rsid w:val="7D0E2676"/>
    <w:rsid w:val="7E600C51"/>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eastAsia="方正黑体_GBK" w:asciiTheme="majorAscii" w:hAnsiTheme="majorAscii" w:cstheme="majorBidi"/>
      <w:bCs/>
      <w:sz w:val="32"/>
      <w:szCs w:val="32"/>
    </w:rPr>
  </w:style>
  <w:style w:type="character" w:customStyle="1" w:styleId="21">
    <w:name w:val="标题 3 Char"/>
    <w:basedOn w:val="15"/>
    <w:link w:val="4"/>
    <w:semiHidden/>
    <w:qFormat/>
    <w:uiPriority w:val="9"/>
    <w:rPr>
      <w:rFonts w:eastAsia="方正楷体_GBK" w:asciiTheme="minorAscii" w:hAnsiTheme="minorAscii"/>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2</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2019-06-03T13:45:09Z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