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民用运力国防动员条例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(2003年9月11日中华人民共和国国务院、中华人民共和国中央军事委员会令第391号公布　根据2011年1月8日《国务院关于废止和修改部分行政法规的决定》第一次修订　根据2019年3月2日《国务院关于修改部分行政法规的决定》第二次修订)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为了维护国家主权、统一、领土完整和安全，保证有效地组织和实施民用运力国防动员，根据《中华人民共和国国防法》和其他有关法律，制定本条例。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民用运力国防动员，包括动员准备和动员实施。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战时及平时特殊情况下，根据国防动员需要，国家有权依法对机关、社会团体、企业、事业单位和公民个人(以下简称单位和个人)所拥有或者管理的民用运载工具及相关设备、设施、人员，进行统一组织和调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国家在和平时期进行民用运力国防动员准备，增强动员潜力，保障战时及平时特殊情况下实施民用运力国防动员的需要。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一切拥有或者管理民用运力的单位和个人都应当依法履行民用运力国防动员义务。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因履行民用运力国防动员义务而遭受直接财产损失、人员伤亡的，依法享有获得补偿、抚恤的权利。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国家国防动员机构在国务院和中央军事委员会领导下，负责组织领导全国的民用运力国防动员工作。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军区国防动员机构负责组织领导本区域的民用运力国防动员工作。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县级以上地方各级国防动员机构负责组织领导本行政区域的民用运力国防动员工作。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国家国防交通主管机构负责具体实施全国的民用运力国防动员工作。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军区国防交通主管机构负责具体实施本区域的有关民用运力国防动员工作。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县级以上地方各级人民政府国防交通主管机构负责具体实施本行政区域的民用运力国防动员工作。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各级国民经济动员机构、人民武装动员机构和县级以上人民政府交通运输管理部门以及其他有关部门在各自的职责范围内，负责有关的民用运力国防动员工作。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县级以上各级人民政府应当采取有效措施，加强民用运力国防动员准备工作，将民用运力国防动员准备工作纳入国民经济和社会发展计划，增强动员潜力，支持和督促其有关部门依法履行职责，落实民用运力国防动员的各项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国家支持、鼓励单位和个人建造、购买、经营平战结合的民用运载工具及相关设备，按照有关规定给予扶持。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单位和个人在民用运力国防动员工作中做出突出贡献，有下列情形之一的，依照国家和地方有关规定给予表彰、奖励：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(一)提供重要或者急需的民用运力，在保障军事行动中作用明显的；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(二)组织和开展民用运力国防动员活动，取得突出成绩的；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(三)坚决执行民用运力国防动员命令，克服困难，出色完成任务的；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(四)勇于同干扰和破坏民用运力国防动员的行为作斗争，避免重大损失的；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(五)在民用运载工具及相关设备贯彻国防要求或者加装改造方面，有重大发明创造，军事或者经济效益显著的。</w:t>
      </w:r>
    </w:p>
    <w:p>
      <w:pPr>
        <w:pStyle w:val="3"/>
        <w:bidi w:val="0"/>
      </w:pPr>
      <w:r>
        <w:t>第二章　民用运力国防动员的准备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家国防交通主管机构应当会同国家国民经济动员机构、国务院交通运输管理部门和其他有关部门、军队有关部门，根据民用运载工具及相关设备的设计、建造情况，按照突出重点、注重实效的原则，拟订新建民用运载工具及相关设备贯彻国防要求的总体规划，报国家国防动员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国家国民经济动员机构应当根据批准的总体规划，拟订新建民用运载工具及相关设备贯彻国防要求的具体实施计划并组织实施。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交通运输管理部门和其他有关部门，省、自治区、直辖市人民政府，应当加强对本行业、本行政区域内设计、建造民用运载工具及相关设备贯彻国防要求工作的管理和指导，为承担设计、建造任务的单位和个人提供政策和技术支持，保障有关国防要求的落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设计、建造列入贯彻国防要求具体实施计划的民用运载工具及相关设备的单位和个人，必须严格按照贯彻国防要求的设计标准和技术规范进行设计、建造。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出资建造民用运载工具及相关设备的单位和个人，不得阻碍设计、建造单位和个人为贯彻国防要求所进行的设计、建造活动。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设计、建造民用运载工具及相关设备，因贯彻国防要求所发生的费用，由中央财政和县级以上地方各级财政给予适当补助。具体办法由国家国防交通主管机构会同国务院财政部门制定。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贯彻国防要求的民用运载工具及相关设备竣工验收时，下达任务的机构和有关国防交通主管机构应当参加验收并签署意见，验收合格并经所在地国防交通主管机构登记后，方可交付使用。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县级以上人民政府交通运输管理部门、公安交通管理部门和其他有关部门，应当结合本部门年度的交通工具统计、登记和审验(核)工作，按照民用运力国防动员准备登记的要求，于每年1月31日前，向同级国防交通主管机构报送上一年度民用运力登记的有关资料和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报送的民用运力资料和情况不符合规定要求的，国防交通主管机构可以要求前款所列有关部门按照规定要求重新提供，有关部门不得拒绝。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各级国防交通主管机构应当对民用运力资料和情况分类整理，登记造册，妥善保管，及时更新。下级国防交通主管机构应当按照民用运力国防动员的要求将本级民用运力情况报送上一级国防交通主管机构；同时根据需要，及时向军队有关单位通报本地区的民用运力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国防交通主管机构以及获得情况通报的军队有关单位对民用运力资料和情况负有保密义务。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军队、人民武装警察部队、民兵组织，应当根据所担负的任务，评估和测算民用运力国防动员需求，并按照规定的程序将所需民用运载工具及相关设备的类型、数量及其技术要求等情况报送有关国防交通主管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国防交通主管机构应当根据民用运力情况和使用单位提出的需求，组织拟订民用运力国防动员预案。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全国民用运力国防动员预案，由国家国防交通主管机构会同国务院有关部门和军队有关部门拟订，报国家国防动员机构批准。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区民用运力国防动员预案，由军区国防交通主管机构根据全国民用运力国防动员预案，会同军区有关部门和区域内的省、自治区、直辖市人民政府有关部门拟订，报军区国防动员机构批准，并报国家国防交通主管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民用运力国防动员预案，由省、自治区、直辖市人民政府国防交通主管机构根据军区民用运力国防动员预案，会同本级人民政府有关部门和同级军事机关拟订，报本级国防动员机构批准，并报军区国防交通主管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海军、空军、第二炮兵(以下简称军兵种)根据所担负的特殊任务，需要单独制定民用运力国防动员预案的，经国家国防交通主管机构同意后，由军兵种主管国防交通工作的机构会同有关军区和省、自治区、直辖市人民政府的国防交通主管机构以及其他有关部门拟订；经所属的军兵种审核同意后，报国家国防动员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民用运力国防动员预案应当明确动员的任务、程序、要求和保障措施，便于操作执行，能够满足军事行动的需要。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民用运力国防动员预案的调整，按照原拟订程序和批准权限办理。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国防交通主管机构应当会同人民武装动员机构，根据民用运力国防动员预案，组织和指导有关部门确定预征民用运力，并将预征民用运载工具及相关设备的类型、数量、技术标准和对操作、保障人员的要求通知有关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接到通知的单位和个人，应当按照要求做好预征民用运力的组织、技术保障等准备工作。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预征民用运载工具及相关设备，需要进行加装改造论证和试验的，由国防交通主管机构会同同级国民经济动员机构，根据民用运力国防动员预案制定实施方案，并组织实施。其中重大论证课题和试验项目的实施方案应当报国家国防动员机构批准；涉及加装武器装备的，按照武器装备加装改造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承担民用运载工具及相关设备加装改造论证课题和试验项目的单位，应当按照规定的时间与要求完成论证和试验任务，并将论证结论和试验结果的资料报送国防交通主管机构和国民经济动员机构。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拥有或者管理需要加装改造的预征民用运载工具及相关设备的单位和个人，应当向承担加装改造论证课题和试验项目的单位提供民用运载工具及相关设备的原始资料和情况，为加装改造论证课题和试验项目的顺利实施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国民经济动员机构和国防交通主管机构，应当根据加装改造任务的要求，指导、帮助有关单位建立和完善加装改造的技术、材料及相关设备的储备制度。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人民武装动员机构应当会同国防交通主管机构和军队负责军事交通运输工作的部门，根据民用运力国防动员准备要求，结合预征民用运力担负的运输生产任务，组织预征民用运力进行必要的军事训练和专业技术训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加预征民用运力训练的人员，训练期间的误工补贴或者在原单位的工资、奖金、福利待遇以及伙食补助、往返差旅费等，训练人员纳入民兵组织的，依照国家有关民兵参加军事训练的规定执行；训练人员未纳入民兵组织的，参照国家有关民兵参加军事训练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国防交通主管机构应当会同同级人民政府交通运输管理部门和其他有关部门，加强对预征民用运力的动态管理，建立相应的管理制度，采用先进的科技手段收集和掌握预征民用运力的动态信息。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拥有或者管理预征民用运力的单位和个人，应当按照规定及时向国防交通主管机构报送预征民用运力的变动情况。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军区级以上单位批准的军事训练、演习，可以征用民用运力。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军事训练、演习需要征用民用运力的，按照中央军事委员会规定的程序报军区级以上单位批准后，由国防交通主管机构根据民用运力国防动员预案组织实施。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军事训练、演习征用民用运力的补偿费用，按照租用方式计价结算。具体办法由国务院财政部门会同国务院有关部门和军队有关部门制定。</w:t>
      </w:r>
    </w:p>
    <w:p>
      <w:pPr>
        <w:pStyle w:val="3"/>
        <w:bidi w:val="0"/>
      </w:pPr>
      <w:r>
        <w:t>第三章　民用运力国防动员的实施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战时的民用运力国防动员，依据国家主席发布的动员令实施。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平时特殊情况下的民用运力国防动员，依据国务院、中央军事委员会发布的民用运力国防动员决定实施。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国防交通主管机构应当根据上级下达的民用运力国防动员任务和使用单位提出的申请，按照快速动员的要求，迅速启动、实施民用运力国防动员预案。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在实施民用运力国防动员预案的过程中，需要对预案进行调整的，按照规定程序、权限办理。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国防交通主管机构应当会同人民武装动员机构，按照上级下达的民用运力国防动员要求，通知被征民用运力的单位和个人，明确其被征民用运载工具及相关设备的类型、数量和操作、保障人员，以及民用运力集结的时间、地点和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被征民用运力的单位和个人必须按照通知要求，组织被征民用运力在规定时限内到达集结地点，并保证被征民用运载工具及相关设备的技术状态和操作、保障人员的技能符合军事行动的要求。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被征民用运力集结地的人民武装动员机构应当会同国防交通主管机构及有关部门组成精干的指挥机构，对集结后的民用运力进行登记编组，查验整备情况，组织必要的应急训练，保证按时交付使用单位；被征民用运力来不及集结的，人民武装动员机构可以与使用单位商定报到时间和地点，并立即通知被征民用运力的单位和个人。被征民用运力交付使用单位时，应当办理交接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被征民用运力交接后，有关民用运载工具及相关设备的安全防护、后勤保障和装备维修等，由使用单位负责，其执行任务所在地的人民政府予以协助。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被征民用运载工具及相关设备需要加装改造的，由国民经济动员机构会同国防交通主管机构和使用单位，按照民用运力国防动员预案确定的加装改造方案组织实施。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承担民用运载工具及相关设备加装改造任务的单位和个人，应当严格按照国家安全技术标准和国防要求进行加装改造，保证按期交付使用。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民用运力国防动员实施过程中，因情况紧急来不及报告的，使用单位可以按照民用运力国防动员预案直接在当地征用所需的民用运力，但必须同时按照规定的程序补报。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民用运力国防动员实施过程中，需要使用港口、码头、机场、车站和其他设施的，由国防交通主管机构事先向有关部门或者单位提出使用要求，有关部门和单位应当予以配合、支持。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使用民用运力的单位应当尽最大可能保证人员安全，并尽量避免民用运载工具及相关设备、设施受到损毁。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国务院、中央军事委员会根据民用运力国防动员的紧急需要，决定对某一行业或者地区的民用运力实施管制时，被实施民用运力管制的单位和个人，必须服从管制指挥机构的统一指挥，保证其拥有或者管理的民用运载工具及相关设备、设施和保障系统处于良好状态。</w:t>
      </w:r>
    </w:p>
    <w:p>
      <w:pPr>
        <w:pStyle w:val="3"/>
        <w:bidi w:val="0"/>
      </w:pPr>
      <w:r>
        <w:t>第四章　补偿与抚恤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民用运力国防动员任务完成后，使用民用运力的单位应当收拢民用运力，清查动员民用运力数量，统计民用运载工具及相关设备、设施的损失、损坏情况以及操作、保障人员的伤亡情况，按照有关规定办理移交手续，并出具民用运力使用、损毁情况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加装改造的民用运载工具及相关设备需要并能够恢复原有功能的，国民经济动员机构应当在移交前会同国防交通主管机构和使用单位组织实施恢复工作。恢复工作完成并通过相应的检验后，应当及时移交。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加装改造的民用运载工具及相关设备不影响原使用功能的，可以不实施恢复工作。国防交通主管机构应当登记造册，列为民用运力国防动员储备。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拥有或者管理民用运力的单位和个人，因履行民用运力国防动员义务造成的下列直接财产损失，由中央财政和县级以上地方各级财政给予适当补偿：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(一)民用运载工具及相关设备和港口、码头、机场、车站等设施的灭失、损坏、折旧；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(二)民用运载工具及相关设备和港口、码头、机场、车站等设施的操作、保障人员的工资或者津贴；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(三)应当给予合理补偿的其他直接财产损失。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补偿的具体办法，由国务院财政部门会同有关部门制定。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拥有或者管理民用运力的单位和个人，凭使用单位出具的使用、损毁证明，向当地的国防交通主管机构申报，经国防交通主管机构审核情况属实，并报有关人民政府批准后，由当地的国防交通主管机构负责在规定的期限内实施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拥有或者管理民用运力的单位和个人，因履行民用运力国防动员义务遭受人员伤亡的，其抚恤优待的办法和标准，由县级以上地方人民政府退役军人事务部门依照《军人抚恤优待条例》的规定执行。</w:t>
      </w:r>
    </w:p>
    <w:p>
      <w:pPr>
        <w:pStyle w:val="3"/>
        <w:bidi w:val="0"/>
      </w:pPr>
      <w:r>
        <w:t>第五章　经费保障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民用运力国防动员所需费用，由中央财政和县级以上地方各级财政共同负担。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中央财政负担的费用，列入中央预算；县级以上地方各级财政负担的费用，列入本级政府预算。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民用运力国防动员准备所需费用，由国家和县级以上地方各级人民政府国防交通主管机构，根据本年度民用运力国防动员工作任务编制预算，报本级人民政府批准。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民用运力国防动员实施所需费用，按照国家在战时及平时特殊情况下有关国防动员经费保障办法执行。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民用运力国防动员经费应当专款专用，并接受财政、审计部门的监督。</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违反本条例的规定，预征民用运力的单位或者个人逃避或者拒不履行民用运力国防动员义务的，由设区的市级人民政府国防交通主管机构责令改正；拒不改正的，强制其履行义务，可以对单位处2万元以上10万元以下的罚款，对个人处2000元以上1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违反本条例的规定，被征民用运力的单位或者个人未按照规定的时间、地点和要求集结应征民用运力，由设区的市级人民政府国防交通主管机构责令改正；构成犯罪的，依法追究刑事责任。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违反本条例的规定，承担设计、建造或者加装改造任务的单位、个人，未按照国防要求对民用运载工具及相关设备进行设计、建造、加装改造，或者出资建造民用运载工具及相关设备的单位、个人阻碍有关设计、建造或者加装改造的，由设区的市级人民政府国防交通主管机构责令改正；拒不改正的，强制其履行义务，可以对单位处5万元以上20万元以下的罚款，对个人处5000元以上5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破坏预征民用运载工具及相关设备或者以其他方式阻碍、干扰民用运力国防动员活动，造成损失或者不良影响的，由公安机关依照《中华人民共和国治安管理处罚法》给予处罚；构成犯罪的，依法追究刑事责任。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违反本条例的规定，县级以上人民政府交通运输管理部门、公安交通管理部门和其他有关部门拒绝向国防交通主管机构报送或者迟延报送上一年度民用运力登记的有关资料和情况的，由本级人民政府责令限期报送；逾期未报送的，对负有直接责任的主管人员和其他直接责任人员，由有关主管机关依法给予记过、记大过、降级的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违反本条例的规定，国防交通主管机构、国民经济动员机构、人民武装动员机构、民用运力使用单位有下列情形之一的，由有关主管机关对负有直接责任的主管人员和其他直接责任人员依法给予记大过、降级、撤职的行政处分或者依照《中国人民解放军纪律条令》的有关规定给予纪律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(一)泄露所收集、掌握的民用运力资料和情况的；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(二)超越权限，擅自动员民用运力的；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(三)对被征用民用运力管理不善，造成严重损失的；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(四)不出具民用运力使用、损毁证明，经有关主管机关指出拒不改正的；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(五)违反专款专用的规定，擅自使用民用运力国防动员经费的。</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平时特殊情况，是指发生危及国家主权、统一、领土完整和安全的武装冲突以及其他突发性事件。</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本条例自2004年1月1日起施行。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788080A"/>
    <w:rsid w:val="08FF0C17"/>
    <w:rsid w:val="0963250F"/>
    <w:rsid w:val="097F7BAD"/>
    <w:rsid w:val="09B60066"/>
    <w:rsid w:val="0B3D0578"/>
    <w:rsid w:val="0D3C4224"/>
    <w:rsid w:val="0D610029"/>
    <w:rsid w:val="0DFE10B9"/>
    <w:rsid w:val="10A47D69"/>
    <w:rsid w:val="134A1994"/>
    <w:rsid w:val="142327B5"/>
    <w:rsid w:val="14484CDF"/>
    <w:rsid w:val="155E2CB3"/>
    <w:rsid w:val="18413C16"/>
    <w:rsid w:val="198A0A54"/>
    <w:rsid w:val="19DB6C33"/>
    <w:rsid w:val="1A1544A0"/>
    <w:rsid w:val="1C9212F7"/>
    <w:rsid w:val="1E13243A"/>
    <w:rsid w:val="20D86240"/>
    <w:rsid w:val="21CE0F2E"/>
    <w:rsid w:val="22DD4281"/>
    <w:rsid w:val="25F044FF"/>
    <w:rsid w:val="26CA1A3A"/>
    <w:rsid w:val="27680A3B"/>
    <w:rsid w:val="28F8723D"/>
    <w:rsid w:val="2AE37E3F"/>
    <w:rsid w:val="2B01664D"/>
    <w:rsid w:val="2B867E08"/>
    <w:rsid w:val="2DBE0D65"/>
    <w:rsid w:val="2E1B43B4"/>
    <w:rsid w:val="2ED32E01"/>
    <w:rsid w:val="2FF20DF5"/>
    <w:rsid w:val="318138A8"/>
    <w:rsid w:val="32252208"/>
    <w:rsid w:val="33CF5811"/>
    <w:rsid w:val="386D21AD"/>
    <w:rsid w:val="3A7915E5"/>
    <w:rsid w:val="3B1265AF"/>
    <w:rsid w:val="3BA0652C"/>
    <w:rsid w:val="3CA23060"/>
    <w:rsid w:val="3CDF39C7"/>
    <w:rsid w:val="3D762392"/>
    <w:rsid w:val="3DB35DC5"/>
    <w:rsid w:val="3E3675FB"/>
    <w:rsid w:val="3F800236"/>
    <w:rsid w:val="3F8C783C"/>
    <w:rsid w:val="40DC5AC3"/>
    <w:rsid w:val="40F66CF8"/>
    <w:rsid w:val="40FE47B4"/>
    <w:rsid w:val="41B857FD"/>
    <w:rsid w:val="4361706F"/>
    <w:rsid w:val="43CA1521"/>
    <w:rsid w:val="43DC003E"/>
    <w:rsid w:val="444B0E8A"/>
    <w:rsid w:val="47A250A3"/>
    <w:rsid w:val="4DC87E21"/>
    <w:rsid w:val="4EDF3D2B"/>
    <w:rsid w:val="4EED79F5"/>
    <w:rsid w:val="5080370D"/>
    <w:rsid w:val="51B1688F"/>
    <w:rsid w:val="523F45D1"/>
    <w:rsid w:val="53BF5C69"/>
    <w:rsid w:val="53DA0A43"/>
    <w:rsid w:val="575D4E2E"/>
    <w:rsid w:val="58035B31"/>
    <w:rsid w:val="58F6185E"/>
    <w:rsid w:val="591257DC"/>
    <w:rsid w:val="5A433CF2"/>
    <w:rsid w:val="5DB22BFD"/>
    <w:rsid w:val="5DD739B2"/>
    <w:rsid w:val="5E49107C"/>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2019-12-25T11:26:38Z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