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B5CA3D" w14:textId="77777777" w:rsidR="00275D82" w:rsidRDefault="00275D82">
      <w:pPr>
        <w:pStyle w:val="a3"/>
        <w:ind w:firstLineChars="200" w:firstLine="880"/>
        <w:jc w:val="center"/>
        <w:rPr>
          <w:rFonts w:ascii="Times New Roman" w:hAnsi="Times New Roman" w:cs="Times New Roman"/>
          <w:sz w:val="44"/>
          <w:szCs w:val="44"/>
        </w:rPr>
      </w:pPr>
    </w:p>
    <w:p w14:paraId="4A1C5B94" w14:textId="77777777" w:rsidR="00275D82" w:rsidRDefault="00347D1D">
      <w:pPr>
        <w:pStyle w:val="a3"/>
        <w:ind w:firstLineChars="200" w:firstLine="880"/>
        <w:jc w:val="center"/>
        <w:rPr>
          <w:rFonts w:ascii="Times New Roman" w:hAnsi="Times New Roman" w:cs="Times New Roman"/>
          <w:sz w:val="32"/>
          <w:szCs w:val="32"/>
        </w:rPr>
      </w:pPr>
      <w:proofErr w:type="gramStart"/>
      <w:r>
        <w:rPr>
          <w:rFonts w:ascii="Times New Roman" w:hAnsi="Times New Roman" w:cs="Times New Roman"/>
          <w:sz w:val="44"/>
          <w:szCs w:val="44"/>
        </w:rPr>
        <w:t>中华人民共和国保障</w:t>
      </w:r>
      <w:proofErr w:type="gramEnd"/>
      <w:r>
        <w:rPr>
          <w:rFonts w:ascii="Times New Roman" w:hAnsi="Times New Roman" w:cs="Times New Roman"/>
          <w:sz w:val="44"/>
          <w:szCs w:val="44"/>
        </w:rPr>
        <w:t>措施条例</w:t>
      </w:r>
    </w:p>
    <w:p w14:paraId="3CF2194D" w14:textId="77777777" w:rsidR="00275D82" w:rsidRDefault="00275D82">
      <w:pPr>
        <w:pStyle w:val="a3"/>
        <w:ind w:firstLineChars="200" w:firstLine="640"/>
        <w:rPr>
          <w:rFonts w:ascii="Times New Roman" w:eastAsia="楷体_GB2312" w:hAnsi="Times New Roman" w:cs="Times New Roman"/>
          <w:sz w:val="32"/>
          <w:szCs w:val="32"/>
        </w:rPr>
      </w:pPr>
    </w:p>
    <w:p w14:paraId="2EC18553" w14:textId="77777777" w:rsidR="00275D82" w:rsidRDefault="00347D1D">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26</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330</w:t>
      </w:r>
      <w:r>
        <w:rPr>
          <w:rFonts w:ascii="楷体_GB2312" w:eastAsia="楷体_GB2312" w:hAnsi="楷体_GB2312" w:cs="楷体_GB2312" w:hint="eastAsia"/>
          <w:sz w:val="32"/>
          <w:szCs w:val="32"/>
        </w:rPr>
        <w:t>号公布　根据</w:t>
      </w:r>
      <w:r>
        <w:rPr>
          <w:rFonts w:ascii="楷体_GB2312" w:eastAsia="楷体_GB2312" w:hAnsi="楷体_GB2312" w:cs="楷体_GB2312" w:hint="eastAsia"/>
          <w:sz w:val="32"/>
          <w:szCs w:val="32"/>
        </w:rPr>
        <w:t>2004</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日《国务院关于修改〈中华人民共和国保障措施条例〉的决定》修订</w:t>
      </w:r>
      <w:r>
        <w:rPr>
          <w:rFonts w:ascii="楷体_GB2312" w:eastAsia="楷体_GB2312" w:hAnsi="楷体_GB2312" w:cs="楷体_GB2312" w:hint="eastAsia"/>
          <w:sz w:val="32"/>
          <w:szCs w:val="32"/>
        </w:rPr>
        <w:t>)</w:t>
      </w:r>
    </w:p>
    <w:p w14:paraId="51249FA3" w14:textId="77777777" w:rsidR="00275D82" w:rsidRDefault="00347D1D">
      <w:pPr>
        <w:pStyle w:val="2"/>
        <w:jc w:val="center"/>
        <w:rPr>
          <w:rFonts w:ascii="方正黑体_GBK" w:eastAsia="方正黑体_GBK"/>
        </w:rPr>
      </w:pPr>
      <w:r>
        <w:rPr>
          <w:rFonts w:ascii="方正黑体_GBK" w:eastAsia="方正黑体_GBK" w:hAnsi="Times New Roman" w:cs="Times New Roman" w:hint="eastAsia"/>
        </w:rPr>
        <w:t>第一章　总则</w:t>
      </w:r>
    </w:p>
    <w:p w14:paraId="050D0BE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Times New Roman" w:eastAsia="仿宋_GB2312" w:hAnsi="Times New Roman" w:cs="Times New Roman"/>
          <w:sz w:val="32"/>
          <w:szCs w:val="32"/>
        </w:rPr>
        <w:t>为了促进对外贸易健康发展，根据《中华人民共和国对外贸易法》的有关规定，制定本条例。</w:t>
      </w:r>
    </w:p>
    <w:p w14:paraId="608F6986"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进口产品数量增加，并对生产同类产品或者直接竞争产品的国内产业造成严重损害或者严重损害威胁</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以下除特别指明外，统称损害</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的，依照本条例的规定进行调查，采取保障措施。</w:t>
      </w:r>
    </w:p>
    <w:p w14:paraId="78D01F21" w14:textId="77777777" w:rsidR="00275D82" w:rsidRDefault="00347D1D">
      <w:pPr>
        <w:pStyle w:val="2"/>
        <w:jc w:val="center"/>
        <w:rPr>
          <w:rFonts w:ascii="方正黑体_GBK" w:eastAsia="方正黑体_GBK"/>
        </w:rPr>
      </w:pPr>
      <w:r>
        <w:rPr>
          <w:rFonts w:ascii="方正黑体_GBK" w:eastAsia="方正黑体_GBK" w:hAnsi="Times New Roman" w:cs="Times New Roman" w:hint="eastAsia"/>
        </w:rPr>
        <w:t>第二章　调查</w:t>
      </w:r>
    </w:p>
    <w:p w14:paraId="634732F1"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与国内产业有关的自然人、法人或者其他组织</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以下统称申请人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，可以依照本条例的规定，向商务部提出采取保障措施的书面申请。</w:t>
      </w:r>
    </w:p>
    <w:p w14:paraId="3D7A2E6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商务部应当及时对申请人的申请进行审查，决定立案调查或者不立案调查。</w:t>
      </w:r>
    </w:p>
    <w:p w14:paraId="1353F480"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第四条　</w:t>
      </w:r>
      <w:r>
        <w:rPr>
          <w:rFonts w:ascii="Times New Roman" w:eastAsia="仿宋_GB2312" w:hAnsi="Times New Roman" w:cs="Times New Roman"/>
          <w:sz w:val="32"/>
          <w:szCs w:val="32"/>
        </w:rPr>
        <w:t>商务部没有收到采取保障措施的书面申请，但</w:t>
      </w:r>
      <w:r>
        <w:rPr>
          <w:rFonts w:ascii="Times New Roman" w:eastAsia="仿宋_GB2312" w:hAnsi="Times New Roman" w:cs="Times New Roman"/>
          <w:sz w:val="32"/>
          <w:szCs w:val="32"/>
        </w:rPr>
        <w:lastRenderedPageBreak/>
        <w:t>有充分证据认为国内产业因进口产品数量增加而受到损害的，可以决定立案调查。</w:t>
      </w:r>
    </w:p>
    <w:p w14:paraId="16D7915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立案调查</w:t>
      </w:r>
      <w:r>
        <w:rPr>
          <w:rFonts w:ascii="Times New Roman" w:eastAsia="仿宋_GB2312" w:hAnsi="Times New Roman" w:cs="Times New Roman"/>
          <w:sz w:val="32"/>
          <w:szCs w:val="32"/>
        </w:rPr>
        <w:t>的决定，由商务部予以公告。</w:t>
      </w:r>
    </w:p>
    <w:p w14:paraId="66F085D5"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商务部应当将立案调查的决定及时通知世界贸易组织保障措施委员会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以下简称保障措施委员会</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344B2F8B"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对进口产品数量增加及损害的调查和确定，由商务部负责；其中，涉及农产品的保障措施国内产业损害调查，由商务部会同农业部进行。</w:t>
      </w:r>
    </w:p>
    <w:p w14:paraId="436BC84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进口产品数量增加，是指进口产品数量的绝对增加或者与国内生产相比的相对增加。</w:t>
      </w:r>
    </w:p>
    <w:p w14:paraId="18F025E4"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在确定进口产品数量增加对国内产业造成的损害时，应当审查下列相关因素：</w:t>
      </w:r>
    </w:p>
    <w:p w14:paraId="4FEA4F3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进口产品的绝对和相对增长率与增长量；</w:t>
      </w:r>
    </w:p>
    <w:p w14:paraId="6AEE5523"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增加的进口产品在国内市场中所占的份额；</w:t>
      </w:r>
    </w:p>
    <w:p w14:paraId="5444FD39"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进口产品对国内产业的影响，包括对国内产业在产量、销售水平、市场份额、生产率、设备利用率、利润与亏损、就业等方面的影响；</w:t>
      </w:r>
    </w:p>
    <w:p w14:paraId="75B367EB"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造成国内产业损害的其他因素。</w:t>
      </w:r>
    </w:p>
    <w:p w14:paraId="7EA69801"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对严重损害威胁的确定，应当依据事实，不能仅依据指控、推测或者极小的可能性。</w:t>
      </w:r>
    </w:p>
    <w:p w14:paraId="58226575"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在确定进口产品数量增加对国内产业造成的损害时，不得将进口增加以外的因素对国内产业造成的损害归因于进</w:t>
      </w:r>
      <w:r>
        <w:rPr>
          <w:rFonts w:ascii="Times New Roman" w:eastAsia="仿宋_GB2312" w:hAnsi="Times New Roman" w:cs="Times New Roman"/>
          <w:sz w:val="32"/>
          <w:szCs w:val="32"/>
        </w:rPr>
        <w:lastRenderedPageBreak/>
        <w:t>口增加。</w:t>
      </w:r>
    </w:p>
    <w:p w14:paraId="3A9B2686"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在调查期间，商务部应当及时公布对案情的详细分析和审查的相关因素等。</w:t>
      </w:r>
    </w:p>
    <w:p w14:paraId="6D21C788"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国内产业，是指中华人民共和国国内同类</w:t>
      </w:r>
      <w:r>
        <w:rPr>
          <w:rFonts w:ascii="Times New Roman" w:eastAsia="仿宋_GB2312" w:hAnsi="Times New Roman" w:cs="Times New Roman"/>
          <w:sz w:val="32"/>
          <w:szCs w:val="32"/>
        </w:rPr>
        <w:t>产品或者直接竞争产品的全部生产者，或者其总产量占国内同类产品或者直接竞争产品全部总产量的主要部分的生产者。</w:t>
      </w:r>
    </w:p>
    <w:p w14:paraId="43F098F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商务部应当根据客观的事实和证据，确定进口产品数量增加与国内产业的损害之间是否存在因果关系。</w:t>
      </w:r>
    </w:p>
    <w:p w14:paraId="0029904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商务部应当为进口经营者、出口经营者和其他利害关系方提供陈述意见和论据的机会。</w:t>
      </w:r>
    </w:p>
    <w:p w14:paraId="5591BFE0"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调查可以采用调查问卷的方式，也可以采用听证会或者其他方式。</w:t>
      </w:r>
    </w:p>
    <w:p w14:paraId="537ACF6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调查中获得的有关资料，资料提供方认为需要保密的，商务部可以按保密资料处理。</w:t>
      </w:r>
    </w:p>
    <w:p w14:paraId="2973F1F9"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保密申请有理由的，应当对资料提供方提供的资料按保密资料处理，同时要求</w:t>
      </w:r>
      <w:r>
        <w:rPr>
          <w:rFonts w:ascii="Times New Roman" w:eastAsia="仿宋_GB2312" w:hAnsi="Times New Roman" w:cs="Times New Roman"/>
          <w:sz w:val="32"/>
          <w:szCs w:val="32"/>
        </w:rPr>
        <w:t>资料提供方提供一份非保密的该资料概要。</w:t>
      </w:r>
    </w:p>
    <w:p w14:paraId="6016967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按保密资料处理的资料，未经资料提供方同意，不得泄露。</w:t>
      </w:r>
    </w:p>
    <w:p w14:paraId="5D97A8ED"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进口产品数量增加、损害的调查结果及其理由的说明，由商务部予以公布。</w:t>
      </w:r>
    </w:p>
    <w:p w14:paraId="1E386770"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商务部应当将调查结果及有关情况及时通知保障措施</w:t>
      </w:r>
      <w:r>
        <w:rPr>
          <w:rFonts w:ascii="Times New Roman" w:eastAsia="仿宋_GB2312" w:hAnsi="Times New Roman" w:cs="Times New Roman"/>
          <w:sz w:val="32"/>
          <w:szCs w:val="32"/>
        </w:rPr>
        <w:lastRenderedPageBreak/>
        <w:t>委员会。</w:t>
      </w:r>
    </w:p>
    <w:p w14:paraId="74E4F745"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商务部根据调查结果，可以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初裁决定，也可以直接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终裁决定，并予以公告。</w:t>
      </w:r>
    </w:p>
    <w:p w14:paraId="0EEF0C21" w14:textId="77777777" w:rsidR="00275D82" w:rsidRDefault="00347D1D">
      <w:pPr>
        <w:pStyle w:val="2"/>
        <w:jc w:val="center"/>
        <w:rPr>
          <w:rFonts w:ascii="方正黑体_GBK" w:eastAsia="方正黑体_GBK"/>
        </w:rPr>
      </w:pPr>
      <w:r>
        <w:rPr>
          <w:rFonts w:ascii="方正黑体_GBK" w:eastAsia="方正黑体_GBK" w:hAnsi="Times New Roman" w:cs="Times New Roman" w:hint="eastAsia"/>
        </w:rPr>
        <w:t>第三章　保障措施</w:t>
      </w:r>
    </w:p>
    <w:p w14:paraId="03B0FD6C"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有明确证据表明进口产品数量增加，在不采取临时保障措施将对国内产业造成难以补救的损害的紧急情况下，可以</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初裁决定，并采取临时保障措施。</w:t>
      </w:r>
    </w:p>
    <w:p w14:paraId="37F6CAE3"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临时保障措施采取提高关税的形式。</w:t>
      </w:r>
    </w:p>
    <w:p w14:paraId="11D23837"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采取临时保障措施，由商务部提出建议，国务院关税税则委员会根据商务部的建议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决定，由商务部予以公告。海关自公告规定实施之日起执行。</w:t>
      </w:r>
    </w:p>
    <w:p w14:paraId="48C34FF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在采取临时保障措施前，商务部应当将有关情况通知保障措施委员会。</w:t>
      </w:r>
    </w:p>
    <w:p w14:paraId="07DFF3E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临时保障措施的实施期限，自临时保障措施决定公告规定实施之日起，不超过</w:t>
      </w:r>
      <w:r>
        <w:rPr>
          <w:rFonts w:ascii="Times New Roman" w:eastAsia="仿宋_GB2312" w:hAnsi="Times New Roman" w:cs="Times New Roman"/>
          <w:sz w:val="32"/>
          <w:szCs w:val="32"/>
        </w:rPr>
        <w:t>200</w:t>
      </w:r>
      <w:r>
        <w:rPr>
          <w:rFonts w:ascii="Times New Roman" w:eastAsia="仿宋_GB2312" w:hAnsi="Times New Roman" w:cs="Times New Roman"/>
          <w:sz w:val="32"/>
          <w:szCs w:val="32"/>
        </w:rPr>
        <w:t>天。</w:t>
      </w:r>
    </w:p>
    <w:p w14:paraId="359D973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进口产品数量增加，并由此对国内产业造成损害的，可以采取保障措施。实施保障措施应当符合公共利益。</w:t>
      </w:r>
    </w:p>
    <w:p w14:paraId="79BF5486"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保障措施可以采取提高关税、数量限制等形式。</w:t>
      </w:r>
    </w:p>
    <w:p w14:paraId="3C1A8B52"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保障措施采取提高关税形式的，由商务部提出建议</w:t>
      </w:r>
      <w:r>
        <w:rPr>
          <w:rFonts w:ascii="Times New Roman" w:eastAsia="仿宋_GB2312" w:hAnsi="Times New Roman" w:cs="Times New Roman"/>
          <w:sz w:val="32"/>
          <w:szCs w:val="32"/>
        </w:rPr>
        <w:t>，国务院关税税则委员会根据商务部的建议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w:t>
      </w:r>
      <w:r>
        <w:rPr>
          <w:rFonts w:ascii="Times New Roman" w:eastAsia="仿宋_GB2312" w:hAnsi="Times New Roman" w:cs="Times New Roman"/>
          <w:sz w:val="32"/>
          <w:szCs w:val="32"/>
        </w:rPr>
        <w:lastRenderedPageBreak/>
        <w:t>由商务部予以公告；采取数量限制形式的，由商务部</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决定并予以公告。海关自公告规定实施之日起执行。</w:t>
      </w:r>
    </w:p>
    <w:p w14:paraId="615F9F54"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商务部应当将采取保障措施的决定及有关情况及时通知保障措施委员会。</w:t>
      </w:r>
    </w:p>
    <w:p w14:paraId="2C7051DA"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采取数量限制措施的，限制后的进口量不得低于最近</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个有代表性年度的平均进口量；但是，有正当理由表明为防止或者补救严重损害而有必要采取不同水平的数量限制措施的除外。</w:t>
      </w:r>
    </w:p>
    <w:p w14:paraId="6C00E718"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采取数量限制措施，需要在有关出口国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之间进行数量分配的，商务部可以与有关出口国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或者原产国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就数量的分配进行磋商。</w:t>
      </w:r>
    </w:p>
    <w:p w14:paraId="79AE67D2"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保障措施应当针对正在进口的产品实施，不区分产品来源国</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w:t>
      </w:r>
    </w:p>
    <w:p w14:paraId="32D1D6E8"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采取保障措施应当限于防止、补救严重损害并便利调整国内产业所必要的范围内。</w:t>
      </w:r>
    </w:p>
    <w:p w14:paraId="372E403F"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在采取保障措施前，商务部应当为与有关产品的出口经营者有实质利益的国家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政府</w:t>
      </w:r>
      <w:proofErr w:type="gramStart"/>
      <w:r>
        <w:rPr>
          <w:rFonts w:ascii="Times New Roman" w:eastAsia="仿宋_GB2312" w:hAnsi="Times New Roman" w:cs="Times New Roman"/>
          <w:sz w:val="32"/>
          <w:szCs w:val="32"/>
        </w:rPr>
        <w:t>提供磋商</w:t>
      </w:r>
      <w:proofErr w:type="gramEnd"/>
      <w:r>
        <w:rPr>
          <w:rFonts w:ascii="Times New Roman" w:eastAsia="仿宋_GB2312" w:hAnsi="Times New Roman" w:cs="Times New Roman"/>
          <w:sz w:val="32"/>
          <w:szCs w:val="32"/>
        </w:rPr>
        <w:t>的充分机会。</w:t>
      </w:r>
    </w:p>
    <w:p w14:paraId="0463930C"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终裁决</w:t>
      </w:r>
      <w:proofErr w:type="gramStart"/>
      <w:r>
        <w:rPr>
          <w:rFonts w:ascii="Times New Roman" w:eastAsia="仿宋_GB2312" w:hAnsi="Times New Roman" w:cs="Times New Roman"/>
          <w:sz w:val="32"/>
          <w:szCs w:val="32"/>
        </w:rPr>
        <w:t>定确定</w:t>
      </w:r>
      <w:proofErr w:type="gramEnd"/>
      <w:r>
        <w:rPr>
          <w:rFonts w:ascii="Times New Roman" w:eastAsia="仿宋_GB2312" w:hAnsi="Times New Roman" w:cs="Times New Roman"/>
          <w:sz w:val="32"/>
          <w:szCs w:val="32"/>
        </w:rPr>
        <w:t>不采取保障措施的，已征收的临时关税应当予以退还。</w:t>
      </w:r>
    </w:p>
    <w:p w14:paraId="7B0CE4E2" w14:textId="77777777" w:rsidR="00275D82" w:rsidRDefault="00347D1D">
      <w:pPr>
        <w:pStyle w:val="2"/>
        <w:jc w:val="center"/>
        <w:rPr>
          <w:rFonts w:ascii="方正黑体_GBK" w:eastAsia="方正黑体_GBK"/>
        </w:rPr>
      </w:pPr>
      <w:r>
        <w:rPr>
          <w:rFonts w:ascii="方正黑体_GBK" w:eastAsia="方正黑体_GBK" w:hAnsi="Times New Roman" w:cs="Times New Roman" w:hint="eastAsia"/>
        </w:rPr>
        <w:lastRenderedPageBreak/>
        <w:t>第四章　保障措施的期限与复审</w:t>
      </w:r>
    </w:p>
    <w:p w14:paraId="38B5B4C7"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保障措施的实施期限不超过</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w:t>
      </w:r>
    </w:p>
    <w:p w14:paraId="2DE507B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符合下列条件的，保障措施的实施期限可以适当延长：</w:t>
      </w:r>
    </w:p>
    <w:p w14:paraId="4666C882"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按照本条例规定的程序确定保障措施对于防止或者补救严重损害仍然有必要；</w:t>
      </w:r>
    </w:p>
    <w:p w14:paraId="7026FDD0"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有证据表明相关国内产业正在进行调整；</w:t>
      </w:r>
    </w:p>
    <w:p w14:paraId="22E4058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已经履行有关对外通知、磋商的义务；</w:t>
      </w:r>
    </w:p>
    <w:p w14:paraId="20B5EF21"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延长后的措施不严于延长前的措施。</w:t>
      </w:r>
    </w:p>
    <w:p w14:paraId="7EA396F5"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一项保障措施的实施期限及其延长期限，最长不超过</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年。</w:t>
      </w:r>
    </w:p>
    <w:p w14:paraId="64E32A44"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保障措施实施期限超过</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年的，应当在实施期间内按固定时间间隔逐步放宽。</w:t>
      </w:r>
    </w:p>
    <w:p w14:paraId="79D956E1"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保障措施实施期限超过</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年的，商务部应当在实施期间内对该项措施进行中期复审。</w:t>
      </w:r>
    </w:p>
    <w:p w14:paraId="21E6F053"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复审的内容包括保障措施对国内产业的影响、国内产业的调整情况等。</w:t>
      </w:r>
    </w:p>
    <w:p w14:paraId="339E59EC"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第二十九条　</w:t>
      </w:r>
      <w:r>
        <w:rPr>
          <w:rFonts w:ascii="Times New Roman" w:eastAsia="仿宋_GB2312" w:hAnsi="Times New Roman" w:cs="Times New Roman"/>
          <w:sz w:val="32"/>
          <w:szCs w:val="32"/>
        </w:rPr>
        <w:t>保障措施属于提高关税的，商务部应当根据复审结果，依照本条例的规定，提出保留、取消或者加快放宽提高关税措施的建议，国务院关税税则委员会根</w:t>
      </w:r>
      <w:r>
        <w:rPr>
          <w:rFonts w:ascii="Times New Roman" w:eastAsia="仿宋_GB2312" w:hAnsi="Times New Roman" w:cs="Times New Roman"/>
          <w:sz w:val="32"/>
          <w:szCs w:val="32"/>
        </w:rPr>
        <w:t>据商务部的建议</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决定，由商务部予以公告；保障措施属于数量限制或者其他形式的，商务部应当根据复审结果，依照本条例的规定，</w:t>
      </w:r>
      <w:proofErr w:type="gramStart"/>
      <w:r>
        <w:rPr>
          <w:rFonts w:ascii="Times New Roman" w:eastAsia="仿宋_GB2312" w:hAnsi="Times New Roman" w:cs="Times New Roman"/>
          <w:sz w:val="32"/>
          <w:szCs w:val="32"/>
        </w:rPr>
        <w:t>作出</w:t>
      </w:r>
      <w:proofErr w:type="gramEnd"/>
      <w:r>
        <w:rPr>
          <w:rFonts w:ascii="Times New Roman" w:eastAsia="仿宋_GB2312" w:hAnsi="Times New Roman" w:cs="Times New Roman"/>
          <w:sz w:val="32"/>
          <w:szCs w:val="32"/>
        </w:rPr>
        <w:t>保留、取消或者加快放宽数量限制措施的决</w:t>
      </w:r>
      <w:r>
        <w:rPr>
          <w:rFonts w:ascii="Times New Roman" w:eastAsia="仿宋_GB2312" w:hAnsi="Times New Roman" w:cs="Times New Roman"/>
          <w:sz w:val="32"/>
          <w:szCs w:val="32"/>
        </w:rPr>
        <w:lastRenderedPageBreak/>
        <w:t>定并予以公告。</w:t>
      </w:r>
    </w:p>
    <w:p w14:paraId="5CEC8E4C"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对同</w:t>
      </w:r>
      <w:proofErr w:type="gramStart"/>
      <w:r>
        <w:rPr>
          <w:rFonts w:ascii="Times New Roman" w:eastAsia="仿宋_GB2312" w:hAnsi="Times New Roman" w:cs="Times New Roman"/>
          <w:sz w:val="32"/>
          <w:szCs w:val="32"/>
        </w:rPr>
        <w:t>一进口</w:t>
      </w:r>
      <w:proofErr w:type="gramEnd"/>
      <w:r>
        <w:rPr>
          <w:rFonts w:ascii="Times New Roman" w:eastAsia="仿宋_GB2312" w:hAnsi="Times New Roman" w:cs="Times New Roman"/>
          <w:sz w:val="32"/>
          <w:szCs w:val="32"/>
        </w:rPr>
        <w:t>产品再次采取保障措施的，与前次采取保障措施的时间间隔应当不短于前次采取保障措施的实施期限，并且至少为</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年。</w:t>
      </w:r>
    </w:p>
    <w:p w14:paraId="7A1BD219"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符合下列条件的，对一产品实施的期限为</w:t>
      </w:r>
      <w:r>
        <w:rPr>
          <w:rFonts w:ascii="Times New Roman" w:eastAsia="仿宋_GB2312" w:hAnsi="Times New Roman" w:cs="Times New Roman"/>
          <w:sz w:val="32"/>
          <w:szCs w:val="32"/>
        </w:rPr>
        <w:t>180</w:t>
      </w:r>
      <w:r>
        <w:rPr>
          <w:rFonts w:ascii="Times New Roman" w:eastAsia="仿宋_GB2312" w:hAnsi="Times New Roman" w:cs="Times New Roman"/>
          <w:sz w:val="32"/>
          <w:szCs w:val="32"/>
        </w:rPr>
        <w:t>天或者少于</w:t>
      </w:r>
      <w:r>
        <w:rPr>
          <w:rFonts w:ascii="Times New Roman" w:eastAsia="仿宋_GB2312" w:hAnsi="Times New Roman" w:cs="Times New Roman"/>
          <w:sz w:val="32"/>
          <w:szCs w:val="32"/>
        </w:rPr>
        <w:t>180</w:t>
      </w:r>
      <w:r>
        <w:rPr>
          <w:rFonts w:ascii="Times New Roman" w:eastAsia="仿宋_GB2312" w:hAnsi="Times New Roman" w:cs="Times New Roman"/>
          <w:sz w:val="32"/>
          <w:szCs w:val="32"/>
        </w:rPr>
        <w:t>天的保障措施，不受前款限制：</w:t>
      </w:r>
    </w:p>
    <w:p w14:paraId="1857F6C8"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proofErr w:type="gramStart"/>
      <w:r>
        <w:rPr>
          <w:rFonts w:ascii="Times New Roman" w:eastAsia="仿宋_GB2312" w:hAnsi="Times New Roman" w:cs="Times New Roman"/>
          <w:sz w:val="32"/>
          <w:szCs w:val="32"/>
        </w:rPr>
        <w:t>一</w:t>
      </w:r>
      <w:proofErr w:type="gramEnd"/>
      <w:r>
        <w:rPr>
          <w:rFonts w:ascii="Times New Roman" w:eastAsia="仿宋_GB2312" w:hAnsi="Times New Roman" w:cs="Times New Roman"/>
          <w:sz w:val="32"/>
          <w:szCs w:val="32"/>
        </w:rPr>
        <w:t>)</w:t>
      </w:r>
      <w:r>
        <w:rPr>
          <w:rFonts w:ascii="Times New Roman" w:eastAsia="仿宋_GB2312" w:hAnsi="Times New Roman" w:cs="Times New Roman"/>
          <w:sz w:val="32"/>
          <w:szCs w:val="32"/>
        </w:rPr>
        <w:t>自对该进口产品实施保障措施之日起，已经超过</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w:t>
      </w:r>
    </w:p>
    <w:p w14:paraId="01A30724"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自实施</w:t>
      </w:r>
      <w:proofErr w:type="gramStart"/>
      <w:r>
        <w:rPr>
          <w:rFonts w:ascii="Times New Roman" w:eastAsia="仿宋_GB2312" w:hAnsi="Times New Roman" w:cs="Times New Roman"/>
          <w:sz w:val="32"/>
          <w:szCs w:val="32"/>
        </w:rPr>
        <w:t>该保障</w:t>
      </w:r>
      <w:proofErr w:type="gramEnd"/>
      <w:r>
        <w:rPr>
          <w:rFonts w:ascii="Times New Roman" w:eastAsia="仿宋_GB2312" w:hAnsi="Times New Roman" w:cs="Times New Roman"/>
          <w:sz w:val="32"/>
          <w:szCs w:val="32"/>
        </w:rPr>
        <w:t>措施之日起</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年内，未对同一产品实施</w:t>
      </w:r>
      <w:r>
        <w:rPr>
          <w:rFonts w:ascii="Times New Roman" w:eastAsia="仿宋_GB2312" w:hAnsi="Times New Roman" w:cs="Times New Roman"/>
          <w:sz w:val="32"/>
          <w:szCs w:val="32"/>
        </w:rPr>
        <w:t>2</w:t>
      </w:r>
      <w:r>
        <w:rPr>
          <w:rFonts w:ascii="Times New Roman" w:eastAsia="仿宋_GB2312" w:hAnsi="Times New Roman" w:cs="Times New Roman"/>
          <w:sz w:val="32"/>
          <w:szCs w:val="32"/>
        </w:rPr>
        <w:t>次以上保</w:t>
      </w:r>
      <w:r>
        <w:rPr>
          <w:rFonts w:ascii="Times New Roman" w:eastAsia="仿宋_GB2312" w:hAnsi="Times New Roman" w:cs="Times New Roman"/>
          <w:sz w:val="32"/>
          <w:szCs w:val="32"/>
        </w:rPr>
        <w:t>障措施。</w:t>
      </w:r>
    </w:p>
    <w:p w14:paraId="66559132" w14:textId="77777777" w:rsidR="00275D82" w:rsidRDefault="00347D1D">
      <w:pPr>
        <w:pStyle w:val="2"/>
        <w:jc w:val="center"/>
        <w:rPr>
          <w:rFonts w:ascii="方正黑体_GBK" w:eastAsia="方正黑体_GBK"/>
        </w:rPr>
      </w:pPr>
      <w:r>
        <w:rPr>
          <w:rFonts w:ascii="方正黑体_GBK" w:eastAsia="方正黑体_GBK" w:hAnsi="Times New Roman" w:cs="Times New Roman" w:hint="eastAsia"/>
        </w:rPr>
        <w:t>第五章　附则</w:t>
      </w:r>
    </w:p>
    <w:p w14:paraId="7BB00FF1"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任何国家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对中华人民共和国的出口产品采取歧视性保障措施的，中华人民共和国可以根据实际情况对该国家</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地区</w:t>
      </w:r>
      <w:r>
        <w:rPr>
          <w:rFonts w:ascii="Times New Roman" w:eastAsia="仿宋_GB2312" w:hAnsi="Times New Roman" w:cs="Times New Roman"/>
          <w:sz w:val="32"/>
          <w:szCs w:val="32"/>
        </w:rPr>
        <w:t>)</w:t>
      </w:r>
      <w:r>
        <w:rPr>
          <w:rFonts w:ascii="Times New Roman" w:eastAsia="仿宋_GB2312" w:hAnsi="Times New Roman" w:cs="Times New Roman"/>
          <w:sz w:val="32"/>
          <w:szCs w:val="32"/>
        </w:rPr>
        <w:t>采取相应的措施。</w:t>
      </w:r>
    </w:p>
    <w:p w14:paraId="2C60819E"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商务部负责与保障措施有关的对外磋商、通知和争端解决事宜。</w:t>
      </w:r>
    </w:p>
    <w:p w14:paraId="0D5967FD" w14:textId="77777777" w:rsidR="00275D82" w:rsidRDefault="00347D1D">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商务部可以根据本条例制定具体实施办法。</w:t>
      </w:r>
    </w:p>
    <w:p w14:paraId="39F7035E" w14:textId="77777777" w:rsidR="00275D82" w:rsidRDefault="00347D1D" w:rsidP="00DB7B49">
      <w:pPr>
        <w:ind w:firstLineChars="200" w:firstLine="640"/>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本条例自</w:t>
      </w:r>
      <w:r>
        <w:rPr>
          <w:rFonts w:ascii="Times New Roman" w:eastAsia="仿宋_GB2312" w:hAnsi="Times New Roman" w:cs="Times New Roman"/>
          <w:sz w:val="32"/>
          <w:szCs w:val="32"/>
        </w:rPr>
        <w:t>2002</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275D82">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ACF072" w14:textId="77777777" w:rsidR="00347D1D" w:rsidRDefault="00347D1D">
      <w:r>
        <w:separator/>
      </w:r>
    </w:p>
  </w:endnote>
  <w:endnote w:type="continuationSeparator" w:id="0">
    <w:p w14:paraId="0DF834CD" w14:textId="77777777" w:rsidR="00347D1D" w:rsidRDefault="00347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default"/>
    <w:sig w:usb0="00000001" w:usb1="080E0000" w:usb2="00000000" w:usb3="00000000" w:csb0="00040000" w:csb1="00000000"/>
  </w:font>
  <w:font w:name="方正黑体_GBK">
    <w:altName w:val="微软雅黑"/>
    <w:charset w:val="86"/>
    <w:family w:val="script"/>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B2B129" w14:textId="77777777" w:rsidR="00275D82" w:rsidRDefault="00347D1D">
    <w:pPr>
      <w:pStyle w:val="a4"/>
    </w:pPr>
    <w:r>
      <w:pict w14:anchorId="196A4A7A">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DB7E956" w14:textId="77777777" w:rsidR="00275D82" w:rsidRDefault="00347D1D">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B2918E" w14:textId="77777777" w:rsidR="00347D1D" w:rsidRDefault="00347D1D">
      <w:r>
        <w:separator/>
      </w:r>
    </w:p>
  </w:footnote>
  <w:footnote w:type="continuationSeparator" w:id="0">
    <w:p w14:paraId="33D64BE7" w14:textId="77777777" w:rsidR="00347D1D" w:rsidRDefault="00347D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5BC6C4B"/>
    <w:rsid w:val="00275D82"/>
    <w:rsid w:val="003450FD"/>
    <w:rsid w:val="00347D1D"/>
    <w:rsid w:val="006F53A2"/>
    <w:rsid w:val="00AA7C86"/>
    <w:rsid w:val="00DB7B49"/>
    <w:rsid w:val="0EA57521"/>
    <w:rsid w:val="2A3C5B47"/>
    <w:rsid w:val="65BC6C4B"/>
    <w:rsid w:val="66F71D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EF0513"/>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433</Words>
  <Characters>2469</Characters>
  <Application>Microsoft Office Word</Application>
  <DocSecurity>0</DocSecurity>
  <Lines>20</Lines>
  <Paragraphs>5</Paragraphs>
  <ScaleCrop>false</ScaleCrop>
  <Company/>
  <LinksUpToDate>false</LinksUpToDate>
  <CharactersWithSpaces>2897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3</cp:revision>
  <dcterms:created xsi:type="dcterms:W3CDTF">2019-05-22T15:50:00Z</dcterms:created>
  <dcterms:modified xsi:type="dcterms:W3CDTF">2020-11-09T09:50:00Z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