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民办非企业单位登记管理暂行条例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(1998年9月25日国务院第8次常务会议通过　1998年10月25日中华人民共和国国务院令第251号发布　自发布之日起施行)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为了规范民办非企业单位的登记管理，保障民办非企业单位的合法权益，促进社会主义物质文明、精神文明建设，制定本条例。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本条例所称民办非企业单位，是指企业事业单位、社会团体和其他社会力量以及公民个人利用非国有资产举办的，从事非营利性社会服务活动的社会组织。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成立民办非企业单位，应当经其业务主管单位审查同意，并依照本条例的规定登记。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民办非企业单位应当遵守宪法、法律、法规和国家政策，不得反对宪法确定的基本原则，不得危害国家的统一、安全和民族的团结，不得损害国家利益、社会公共利益以及其他社会组织和公民的合法权益，不得违背社会道德风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民办非企业单位不得从事营利性经营活动。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国务院民政部门和县级以上地方各级人民政府民政部门是本级人民政府的民办非企业单位登记管理机关(以下简称登记管理机关)。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国务院有关部门和县级以上地方各级人民政府的有关部门、国务院或者县级以上地方各级人民政府授权的组织，是有关行业、业务范围内民办非企业单位的业务主管单位(以下简称业务主管单位)。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法律、行政法规对民办非企业单位的监督管理另有规定的，依照有关法律、行政法规的规定执行。</w:t>
      </w:r>
    </w:p>
    <w:p>
      <w:pPr>
        <w:pStyle w:val="3"/>
        <w:bidi w:val="0"/>
      </w:pPr>
      <w:r>
        <w:t>第二章　管辖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登记管理机关负责同级业务主管单位审查同意的民办非企业单位的登记管理。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登记管理机关、业务主管单位与其管辖的民办非企业单位的住所不在一地的，可以委托民办非企业单位住所地的登记管理机关、业务主管单位负责委托范围内的监督管理工作。</w:t>
      </w:r>
    </w:p>
    <w:p>
      <w:pPr>
        <w:pStyle w:val="3"/>
        <w:bidi w:val="0"/>
      </w:pPr>
      <w:r>
        <w:t>第三章　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申请登记民办非企业单位，应当具备下列条件：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(一)经业务主管单位审查同意；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(二)有规范的名称、必要的组织机构；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(三)有与其业务活动相适应的从业人员；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(四)有与其业务活动相适应的合法财产；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(五)有必要的场所。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民办非企业单位的名称应当符合国务院民政部门的规定，不得冠以</w:t>
      </w:r>
      <w:r>
        <w:rPr>
          <w:rFonts w:hAnsi="宋体" w:cs="Times New Roman"/>
          <w:sz w:val="32"/>
          <w:szCs w:val="32"/>
        </w:rPr>
        <w:t>“</w:t>
      </w:r>
      <w:r>
        <w:rPr>
          <w:rFonts w:ascii="Times New Roman" w:hAnsi="Times New Roman" w:eastAsia="仿宋_GB2312" w:cs="Times New Roman"/>
          <w:sz w:val="32"/>
          <w:szCs w:val="32"/>
        </w:rPr>
        <w:t>中国</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全国</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中华</w:t>
      </w:r>
      <w:r>
        <w:rPr>
          <w:rFonts w:hAnsi="宋体" w:cs="Times New Roman"/>
          <w:sz w:val="32"/>
          <w:szCs w:val="32"/>
        </w:rPr>
        <w:t>”</w:t>
      </w:r>
      <w:r>
        <w:rPr>
          <w:rFonts w:ascii="Times New Roman" w:hAnsi="Times New Roman" w:eastAsia="仿宋_GB2312" w:cs="Times New Roman"/>
          <w:sz w:val="32"/>
          <w:szCs w:val="32"/>
        </w:rPr>
        <w:t>等字样。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申请民办非企业单位登记，举办者应当向登记管理机关提交下列文件：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(二)业务主管单位的批准文件；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(三)场所使用权证明；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(四)验资报告；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(五)拟任负责人的基本情况、身份证明；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民办非企业单位的章程应当包括下列事项：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(二)宗旨和业务范围；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(四)法定代表人或者负责人的产生、罢免的程序；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(五)资产管理和使用的原则；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(六)章程的修改程序；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(七)终止程序和终止后资产的处理；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(八)需要由章程规定的其他事项。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登记管理机关应当自收到成立登记申请的全部有效文件之日起60日内作出准予登记或者不予登记的决定。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有下列情形之一的，登记管理机关不予登记，并向申请人说明理由：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(一)有根据证明申请登记的民办非企业单位的宗旨、业务范围不符合本条例第四条规定的；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(二)在申请成立时弄虚作假的；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(三)在同一行政区域内已有业务范围相同或者相似的民办非企业单位，没有必要成立的；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(四)拟任负责人正在或者曾经受到剥夺政治权利的刑事处罚，或者不具有完全民事行为能力的；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有法律、行政法规禁止的其他情形的。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准予登记的民办非企业单位，由登记管理机关登记民办非企业单位的名称、住所、宗旨和业务范围、法定代表人或者负责人、开办资金、业务主管单位，并根据其依法承担民事责任的不同方式，分别发给《民办非企业单位(法人)登记证书》、《民办非企业单位(合伙)登记证书》、《民办非企业单位(个体)登记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法律、其他行政法规规定，经有关主管部门依法审核或者登记，已经取得相应的执业许可证书的民办非企业单位，登记管理机关应当简化登记手续，凭有关主管部门出具的执业许可证明文件，发给相应的民办非企业单位登记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民办非企业单位不得设立分支机构。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民办非企业单位凭登记证书申请刻制印章，开立银行</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户。民办非企业单位应当将印章式样、银行</w:t>
      </w:r>
      <w:r>
        <w:rPr>
          <w:rFonts w:hint="eastAsia" w:ascii="Times New Roman" w:hAnsi="Times New Roman" w:eastAsia="仿宋_GB2312" w:cs="Times New Roman"/>
          <w:sz w:val="32"/>
          <w:szCs w:val="32"/>
          <w:lang w:eastAsia="zh-CN"/>
        </w:rPr>
        <w:t>帐</w:t>
      </w:r>
      <w:bookmarkStart w:id="0" w:name="_GoBack"/>
      <w:bookmarkEnd w:id="0"/>
      <w:r>
        <w:rPr>
          <w:rFonts w:ascii="Times New Roman" w:hAnsi="Times New Roman" w:eastAsia="仿宋_GB2312" w:cs="Times New Roman"/>
          <w:sz w:val="32"/>
          <w:szCs w:val="32"/>
        </w:rPr>
        <w:t>号报登记管理机关备案。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民办非企业单位的登记事项需要变更的，应当自业务主管单位审查同意之日起30日内，向登记管理机关申请变更登记。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民办非企业单位修改章程，应当自业务主管单位审查同意之日起30日内，报登记管理机关核准。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民办非企业单位自行解散的，分立、合并的，或者由于其他原因需要注销登记的，应当向登记管理机关办理注销登记。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民办非企业单位在办理注销登记前，应当在业务主管单位和其他有关机关的指导下，成立清算组织，完成清算工作。清算期间，民办非企业单位不得开展清算以外的活动。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民办非企业单位法定代表人或者负责人应当自完成清算之日起15日内，向登记管理机关办理注销登记。办理注销登记，须提交注销登记申请书、业务主管单位的审查文件和清算报告。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登记管理机关准予注销登记的，发给注销证明文件，收缴登记证书、印章和财务凭证。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民办非企业单位成立、注销以及变更名称、住所、法定代表人或者负责人，由登记管理机关予以公告。</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登记管理机关履行下列监督管理职责：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(一)负责民办非企业单位的成立、变更、注销登记；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(二)对民办非企业单位实施年度检查；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(三)对民办非企业单位违反本条例的问题进行监督检查，对民办非企业单位违反本条例的行为给予行政处罚。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业务主管单位履行下列监督管理职责：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(一)负责民办非企业单位成立、变更、注销登记前的审查；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(二)监督、指导民办非企业单位遵守宪法、法律、法规和国家政策，按照章程开展活动；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(三)负责民办非企业单位年度检查的初审；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(四)协助登记管理机关和其他有关部门查处民办非企业单位的违法行为；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(五)会同有关机关指导民办非企业单位的清算事宜。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业务主管单位履行前款规定的职责，不得向民办非企业单位收取费用。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民办非企业单位的资产来源必须合法，任何单位和个人不得侵占、私分或者挪用民办非企业单位的资产。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民办非企业单位开展章程规定的活动，按照国家有关规定取得的合法收入，必须用于章程规定的业务活动。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接受捐赠、资助，必须符合章程规定的宗旨和业务范围，必须根据与捐赠人、资助人约定的期限、方式和合法用途使用。民办非企业单位应当向业务主管单位报告接受、使用捐赠、资助的有关情况，并应当将有关情况以适当方式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民办非企业单位必须执行国家规定的财务管理制度，接受财政部门的监督；资产来源属于国家资助或者社会捐赠、资助的，还应当接受审计机关的监督。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民办非企业单位变更法定代表人或者负责人，登记管理机关、业务主管单位应当组织对其进行财务审计。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民办非企业单位应当于每年3月31日前向业务主管单位报送上一年度的工作报告，经业务主管单位初审同意后，于5月31日前报送登记管理机关，接受年度检查。工作报告内容包括：本民办非企业单位遵守法律法规和国家政策的情况、依照本条例履行登记手续的情况、按照章程开展活动的情况、人员和机构变动的情况以及财务管理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对于依照本条例第十二条第二款的规定发给登记证书的民办非企业单位，登记管理机关对其应当简化年度检查的内容。</w:t>
      </w:r>
    </w:p>
    <w:p>
      <w:pPr>
        <w:pStyle w:val="3"/>
        <w:bidi w:val="0"/>
      </w:pPr>
      <w:r>
        <w:t>第五章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民办非企业单位在申请登记时弄虚作假，骗取登记的，或者业务主管单位撤销批准的，由登记管理机关予以撤销登记。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民办非企业单位有下列情形之一的，由登记管理机关予以警告，责令改正，可以限期停止活动；情节严重的，予以撤销登记；构成犯罪的，依法追究刑事责任：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(一)涂改、出租、出借民办非企业单位登记证书，或者出租、出借民办非企业单位印章的；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(二)超出其章程规定的宗旨和业务范围进行活动的；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(三)拒不接受或者不按照规定接受监督检查的；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(四)不按照规定办理变更登记的；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(五)设立分支机构的；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(六)从事营利性的经营活动的；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(七)侵占、私分、挪用民办非企业单位的资产或者所接受的捐赠、资助的；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(八)违反国家有关规定收取费用、筹集资金或者接受使用捐赠、资助的。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前款规定的行为有违法经营额或者违法所得的，予以没收，可以并处违法经营额1倍以上3倍以下或者违法所得3倍以上5倍以下的罚款。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民办非企业单位的活动违反其他法律、法规的，由有关国家机关依法处理；有关国家机关认为应当撤销登记的，由登记管理机关撤销登记。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未经登记，擅自以民办非企业单位名义进行活动的，或者被撤销登记的民办非企业单位继续以民办非企业单位名义进行活动的，由登记管理机关予以取缔，没收非法财产；构成犯罪的，依法追究刑事责任；尚不构成犯罪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民办非企业单位被限期停止活动的，由登记管理机关封存其登记证书、印章和财务凭证。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民办非企业单位被撤销登记的，由登记管理机关收缴登记证书和印章。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登记管理机关、业务主管单位的工作人员滥用职权、徇私舞弊、玩忽职守构成犯罪的，依法追究刑事责任；尚不构成犯罪的，依法给予行政处分。</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民办非企业单位登记证书的式样由国务院民政部门制定。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对民办非企业单位进行年度检查不得收取费用。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本条例施行前已经成立的民办非企业单位，应当自本条例实施之日起1年内依照本条例有关规定申请登记。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8A850B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1706BA"/>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BBC2152"/>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2019-06-11T05:06:30Z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