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32"/>
          <w:szCs w:val="32"/>
        </w:rPr>
      </w:pPr>
    </w:p>
    <w:p>
      <w:pPr>
        <w:pStyle w:val="10"/>
        <w:jc w:val="center"/>
        <w:rPr>
          <w:rFonts w:ascii="Times New Roman" w:hAnsi="Times New Roman"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血液制品管理条例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w:t>
      </w:r>
      <w:bookmarkStart w:id="0" w:name="_GoBack"/>
      <w:r>
        <w:rPr>
          <w:rFonts w:ascii="Times New Roman" w:hAnsi="Times New Roman" w:eastAsia="楷体_GB2312" w:cs="Times New Roman"/>
          <w:spacing w:val="6"/>
          <w:sz w:val="32"/>
          <w:szCs w:val="32"/>
        </w:rPr>
        <w:t>1996年12月30日中华人民共和国国务院令第208号发布　</w:t>
      </w:r>
      <w:bookmarkEnd w:id="0"/>
      <w:r>
        <w:rPr>
          <w:rFonts w:ascii="Times New Roman" w:hAnsi="Times New Roman" w:eastAsia="楷体_GB2312" w:cs="Times New Roman"/>
          <w:sz w:val="32"/>
          <w:szCs w:val="32"/>
        </w:rPr>
        <w:t>根据2016年2月6日《国务院关于修改部分行政法规的决定》修订)</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为了加强血液制品管理，预防和控制经血液途径传播的疾病，保证血液制品的质量，根据药品管理法和传染病防治法，制定本条例。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本条例适用于在中华人民共和国境内从事原料血浆的采集、供应以及血液制品的生产、经营活动。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国务院卫生行政部门对全国的原料血浆的采集、供应和血液制品的生产、经营活动实施监督管理。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县级以上地方各级人民政府卫生行政部门对本行政区域内的原料血浆的采集、供应和血液制品的生产、经营活动，依照本条例第三十条规定的职责实施监督管理。</w:t>
      </w:r>
    </w:p>
    <w:p>
      <w:pPr>
        <w:pStyle w:val="3"/>
        <w:bidi w:val="0"/>
      </w:pPr>
      <w:r>
        <w:t>第二章　原料血浆的管理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国家实行单采血浆站统一规划、设置的制度。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卫生行政部门根据核准的全国生产用原料血浆的需求，对单采血浆站的布局、数量和规模制定总体规划。省、自治区、直辖市人民政府卫生行政部门根据总体规划制定本行政区域内单采血浆站设置规划和采集血浆的区域规划，并报国务院卫生行政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单采血浆站由血液制品生产单位设置或者由县级人民政府卫生行政部门设置，专门从事单采血浆活动，具有独立法人资格。其他任何单位和个人不得从事单采血浆活动。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设置单采血浆站，必须具备下列条件：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(一)符合单采血浆站布局、数量、规模的规划；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(二)具有与所采集原料血浆相适应的卫生专业技术人员；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(三)具有与所采集原料血浆相适应的场所及卫生环境；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(四)具有识别供血浆者的身份识别系统；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(五)具有与所采集原料血浆相适应的单采血浆机械及其他设施；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(六)具有对所采集原料血浆进行质量检验的技术人员以及必要的仪器设备。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申请设置单采血浆站的，由县级人民政府卫生行政部门初审，经设区的市、自治州人民政府卫生行政部门或者省、自治区人民政府设立的派出机关的卫生行政机构审查同意，报省、自治区、直辖市人民政府卫生行政部门审批；经审查符合条件的，由省、自治区、直辖市人民政府卫生行政部门核发《单采血浆许可证》，并报国务院卫生行政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单采血浆站只能对省、自治区、直辖市人民政府卫生行政部门划定区域内的供血浆者进行筛查和采集血浆。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《单采血浆许可证》应当规定有效期。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在一个采血浆区域内，只能设置一个单采血浆站。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严禁单采血浆站采集非划定区域内的供血浆者和其他人员的血浆。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单采血浆站必须对供血浆者进行健康检查；检查合格的，由县级人民政府卫生行政部门核发《供血浆证》。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供血浆者健康检查标准，由国务院卫生行政部门制定。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《供血浆证》由省、自治区、直辖市人民政府卫生行政部门负责设计和印制。《供血浆证》不得涂改、伪造、转让。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单采血浆站在采集血浆前，必须对供血浆者进行身份识别并核实其《供血浆证》，确认无误的，方可按照规定程序进行健康检查和血液化验；对检查、化验合格的，按照有关技术操作标准及程序采集血浆，并建立供血浆者健康检查及供血浆记录档案；对检查、化验不合格的，由单采血浆站收缴《供血浆证》，并由所在地县级人民政府卫生行政部门监督销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严禁采集无《供血浆证》者的血浆。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血浆采集技术操作标准及程序，由国务院卫生行政部门制定。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单采血浆站只能向一个与其签订质量责任书的血液制品生产单位供应原料血浆，严禁向其他任何单位供应原料血浆。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单采血浆站必须使用单采血浆机械采集血浆，严禁手工操作采集血浆。采集的血浆必须按单人份冰冻保存，不得混浆。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严禁单采血浆站采集血液或者将所采集的原料血浆用于临床。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单采血浆站必须使用有产品批准文号并经国家药品生物制品检定机构逐批检定合格的体外诊断试剂以及合格的一次性采血浆器材。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采血浆器材等一次性消耗品使用后，必须按照国家有关规定予以销毁，并作记录。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单采血浆站采集的原料血浆的包装、储存、运输，必须符合国家规定的卫生标准和要求。</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单采血浆站必须依照传染病防治法及其实施办法等有关规定，严格执行消毒管理及疫情上报制度。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单采血浆站应当每半年向所在地的县级人民政府卫生行政部门报告有关原料血浆采集情况，同时抄报设区的市、自治州人民政府卫生行政部门或者省、自治区人民政府设立的派出机关的卫生行政机构及省、自治区、直辖市人民政府卫生行政部门。省、自治区、直辖市人民政府卫生行政部门应当每年向国务院卫生行政部门汇总报告本行政区域内原料血浆的采集情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国家禁止出口原料血浆。</w:t>
      </w:r>
    </w:p>
    <w:p>
      <w:pPr>
        <w:pStyle w:val="3"/>
        <w:bidi w:val="0"/>
      </w:pPr>
      <w:r>
        <w:t>第三章　血液制品生产经营单位管理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新建、改建或者扩建血液制品生产单位，经国务院卫生行政部门根据总体规划进行立项审查同意后，由省、自治区、直辖市人民政府卫生行政部门依照药品管理法的规定审核批准。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血液制品生产单位必须达到国务院卫生行政部门制定的《药品生产质量管理规范》规定的标准，经国务院卫生行政部门审查合格，并依法向工商行政管理部门申领营业执照后，方可从事血液制品的生产活动。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血液制品生产单位应当积极开发新品种，提高血浆综合利用率。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血液制品生产单位生产国内已经生产的品种，必须依法向国务院卫生行政部门申请产品批准文号；国内尚未生产的品种，必须按照国家有关新药审批的程序和要求申报。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严禁血液制品生产单位出让、出租、出借以及与他人共用《药品生产企业许可证》和产品批准文号。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血液制品生产单位不得向无《单采血浆许可证》的单采血浆站或者未与其签订质量责任书的单采血浆站及其他任何单位收集原料血浆。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血液制品生产单位不得向其他任何单位供应原料血浆。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血液制品生产单位在原料血浆投料生产前，必须使用有产品批准文号并经国家药品生物制品检定机构逐批检定合格的体外诊断试剂，对每一人份血浆进行全面复检，并作检测记录。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原料血浆经复检不合格的，不得投料生产，并必须在省级药品监督员监督下按照规定程序和方法予以销毁，并作记录。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原料血浆经复检发现有经血液途径传播的疾病的，必须通知供应血浆的单采血浆站，并及时上报所在地省、自治区、直辖市人民政府卫生行政部门。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血液制品出厂前，必须经过质量检验；经检验不符合国家标准的，严禁出厂。</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开办血液制品经营单位，由省、自治区、直辖市人民政府卫生行政部门审核批准。</w:t>
      </w:r>
    </w:p>
    <w:p>
      <w:pPr>
        <w:pStyle w:val="10"/>
        <w:ind w:firstLine="640" w:firstLineChars="200"/>
        <w:rPr>
          <w:rFonts w:ascii="Times New Roman" w:hAnsi="Times New Roman"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血液制品经营单位应当具备与所经营的产品相适应的冷藏条</w:t>
      </w:r>
      <w:r>
        <w:rPr>
          <w:rFonts w:ascii="Times New Roman" w:hAnsi="Times New Roman" w:cs="Times New Roman"/>
          <w:sz w:val="32"/>
          <w:szCs w:val="32"/>
        </w:rPr>
        <w:t>件和熟悉所经营品种的业务人员。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血液制品生产经营单位生产、包装、储存、运输、经营血液制品，应当符合国家规定的卫生标准和要求。</w:t>
      </w:r>
    </w:p>
    <w:p>
      <w:pPr>
        <w:pStyle w:val="3"/>
        <w:bidi w:val="0"/>
      </w:pPr>
      <w:r>
        <w:t>第四章　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县级以上地方各级人民政府卫生行政部门依照本条例的规定负责本行政区域内的单采血浆站、供血浆者、原料血浆的采集及血液制品经营单位的监督管理。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省、自治区、直辖市人民政府卫生行政部门依照本条例的规定负责本行政区域内的血液制品生产单位的监督管理。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县级以上地方各级人民政府卫生行政部门的监督人员执行职务时，可以按照国家有关规定抽取样品和索取有关资料，有关单位不得拒绝和隐瞒。</w:t>
      </w:r>
    </w:p>
    <w:p>
      <w:pPr>
        <w:pStyle w:val="10"/>
        <w:ind w:firstLine="640" w:firstLineChars="200"/>
        <w:rPr>
          <w:rFonts w:ascii="Times New Roman" w:hAnsi="Times New Roman" w:eastAsia="仿宋_GB2312" w:cs="Times New Roman"/>
          <w:spacing w:val="-11"/>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pacing w:val="-11"/>
          <w:sz w:val="32"/>
          <w:szCs w:val="32"/>
        </w:rPr>
        <w:t>省、自治区、直辖市人民政府卫生行政部门每年组织1次对本行政区域内单采血浆站的监督检查并进行年度注册。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设区的市、自治州人民政府卫生行政部门或者省、自治区人民政府设立的派出机关的卫生行政机构每半年对本行政区域内的单采血浆站进行1次检查。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国家药品生物制品检定机构及国务院卫生行政部门指定的省级药品检验机构，应当依照本条例和国家规定的标准和要求，对血液制品生产单位生产的产品定期进行检定。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国务院卫生行政部门负责全国进出口血液制品的审批及监督管理。</w:t>
      </w:r>
    </w:p>
    <w:p>
      <w:pPr>
        <w:pStyle w:val="3"/>
        <w:bidi w:val="0"/>
      </w:pPr>
      <w:r>
        <w:t>第五章　罚则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违反本条例规定，未取得省、自治区、直辖市人民政府卫生行政部门核发的《单采血浆许可证》，非法从事组织、采集、供应、倒卖原料血浆活动的，由县级以上地方人民政府卫生行政部门予以取缔，没收违法所得和从事违法活动的器材、设备，并处违法所得5倍以上10倍以下的罚款，没有违法所得的，并处5万元以上10万元以下的罚款；造成经血液途径传播的疾病传播、人身伤害等危害，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单采血浆站有下列行为之一的，由县级以上地方人民政府卫生行政部门责令限期改正，处5万元以上10万元以下的罚款；有第八项所列行为的，或者有下列其他行为并且情节严重的，由省、自治区、直辖市人民政府卫生行政部门吊销《单采血浆许可证》；构成犯罪的，对负有直接责任的主管人员和其他直接责任人员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(一)采集血浆前，未按照国务院卫生行政部门颁布的健康检查标准对供血浆者进行健康检查和血液化验的；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(二)采集非划定区域内的供血浆者或者其他人员的血浆的，或者不对供血浆者进行身份识别，采集冒名顶替者、健康检查不合格者或者无《供血浆证》者的血浆的；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(三)违反国务院卫生行政部门制定的血浆采集技术操作标准和程序，过频过量采集血浆的；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(四)向医疗机构直接供应原料血浆或者擅自采集血液的；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(五)未使用单采血浆机械进行血浆采集的；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(六)未使用有产品批准文号并经国家药品生物制品检定机构逐批检定合格的体外诊断试剂以及合格的一次性采血浆器材的；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(七)未按照国家规定的卫生标准和要求包装、储存、运输原料血浆的；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 对国家规定检测项目检测结果呈阳性的血浆不清除、不及时上报的；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 对污染的注射器、采血浆器材及不合格血浆等不经消毒处理，擅自倾倒，污染环境，造成社会危害的；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 重复使用一次性采血浆器材的；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(十一) 向与其签订质量责任书的血液制品生产单位以外的其他单位供应原料血浆的。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单采血浆站已知其采集的血浆检测结果呈阳性，仍向血液制品生产单位供应的，由省、自治区、直辖市人民政府卫生行政部门吊销《单采血浆许可证》，由县级以上地方人民政府卫生行政部门没收违法所得，并处10万元以上30万元以下的罚款；造成经血液途径传播的疾病传播、人身伤害等危害，构成犯罪的，对负有直接责任的主管人员和其他直接责任人员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涂改、伪造、转让《供血浆证》的，由县级人民政府卫生行政部门收缴《供血浆证》，没收违法所得，并处违法所得3倍以上5倍以下的罚款，没有违法所得的，并处1万元以下的罚款；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血液制品生产单位有下列行为之一的，由省级以上人民政府卫生行政部门依照药品管理法及其实施办法等有关规定，按照生产假药、劣药予以处罚；构成犯罪的，对负有直接责任的主管人员和其他直接责任人员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(一)使用无《单采血浆许可证》的单采血浆站或者未与其签订质量责任书的单采血浆站及其他任何单位供应的原料血浆的，或者非法采集原料血浆的；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(二)投料生产前未对原料血浆进行复检的，或者使用没有产品批准文号或者未经国家药品生物制品检定机构逐批检定合格的体外诊断试剂进行复检的，或者将检测不合格的原料血浆投入生产的；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(三)擅自更改生产工艺和质量标准的，或者将检验不合格的产品出厂的；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(四)与他人共用产品批准文号的。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血液制品生产单位违反本条例规定，擅自向其他单位出让、出租、出借以及与他人共用《药品生产企业许可证》、产品批准文号或者供应原料血浆的，由省级以上人民政府卫生行政部门没收违法所得，并处违法所得5倍以上10倍以下的罚款，没有违法所得的，并处5万元以上10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违反本条例规定，血液制品生产经营单位生产、包装、储存、运输、经营血液制品不符合国家规定的卫生标准和要求的，由省、自治区、直辖市人民政府卫生行政部门责令改正，可以处1万元以下的罚款。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在血液制品生产单位成品库待出厂的产品中，经抽检有一批次达不到国家规定的指标，经复检仍不合格的，由国务院卫生行政部门撤销该血液制品批准文号。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违反本条例规定，擅自进出口血液制品或者出口原料血浆的，由省级以上人民政府卫生行政部门没收所进出口的血液制品或者所出口的原料血浆和违法所得，并处所进出口的血液制品或者所出口的原料血浆总值3倍以上5倍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血液制品检验人员虚报、瞒报、涂改、伪造检验报告及有关资料的，依法给予行政处分；构成犯罪的，依法追究刑事责任。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卫生行政部门工作人员滥用职权、玩忽职守、徇私舞弊、索贿受贿，构成犯罪的，依法追究刑事责任；尚不构成犯罪的，依法给予行政处分。</w:t>
      </w:r>
    </w:p>
    <w:p>
      <w:pPr>
        <w:pStyle w:val="3"/>
        <w:bidi w:val="0"/>
      </w:pPr>
      <w:r>
        <w:t>第六章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本条例下列用语的含义：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血液制品，是特指各种人血浆蛋白制品。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原料血浆，是指由单采血浆站采集的专用于血液制品生产原料的血浆。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供血浆者，是指提供血液制品生产用原料血浆的人员。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单采血浆站，是指根据地区血源资源，按照有关标准和要求并经严格审批设立，采集供应血液制品生产用原料血浆的单位。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本条例施行前已经设立的单采血浆站和血液制品生产经营单位应当自本条例施行之日起6个月内，依照本条例的规定重新办理审批手续；凡不符合本条例规定的，一律予以关闭。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本条例施行前已经设立的单采血浆站适用本条例第六条第五项的时间，由国务院卫生行政部门另行规定。</w:t>
      </w:r>
    </w:p>
    <w:p>
      <w:pPr>
        <w:pStyle w:val="10"/>
        <w:ind w:firstLine="640" w:firstLineChars="200"/>
        <w:rPr>
          <w:rFonts w:hint="eastAsia"/>
          <w:lang w:eastAsia="zh-CN"/>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本条例自发布之日起施行。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8213F7"/>
    <w:rsid w:val="06A0228E"/>
    <w:rsid w:val="06E72AA9"/>
    <w:rsid w:val="07405EF4"/>
    <w:rsid w:val="0788080A"/>
    <w:rsid w:val="07E713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CD74830"/>
    <w:rsid w:val="0D3C4224"/>
    <w:rsid w:val="0D610029"/>
    <w:rsid w:val="0D88679D"/>
    <w:rsid w:val="0DFE10B9"/>
    <w:rsid w:val="0FB80839"/>
    <w:rsid w:val="107A4DEE"/>
    <w:rsid w:val="10A47D69"/>
    <w:rsid w:val="11366EEC"/>
    <w:rsid w:val="11A80578"/>
    <w:rsid w:val="12146020"/>
    <w:rsid w:val="12C10B30"/>
    <w:rsid w:val="134A1994"/>
    <w:rsid w:val="136642BB"/>
    <w:rsid w:val="142327B5"/>
    <w:rsid w:val="14484CDF"/>
    <w:rsid w:val="155E2CB3"/>
    <w:rsid w:val="157124FD"/>
    <w:rsid w:val="15B17054"/>
    <w:rsid w:val="16173655"/>
    <w:rsid w:val="16CE3C1D"/>
    <w:rsid w:val="16E85B46"/>
    <w:rsid w:val="174517D7"/>
    <w:rsid w:val="18413C16"/>
    <w:rsid w:val="18971E78"/>
    <w:rsid w:val="1957540A"/>
    <w:rsid w:val="198A0A54"/>
    <w:rsid w:val="19B07609"/>
    <w:rsid w:val="19DB6C33"/>
    <w:rsid w:val="1A970B23"/>
    <w:rsid w:val="1ABC528A"/>
    <w:rsid w:val="1BAF2172"/>
    <w:rsid w:val="1BE76283"/>
    <w:rsid w:val="1C9212F7"/>
    <w:rsid w:val="1D3C1240"/>
    <w:rsid w:val="1D721751"/>
    <w:rsid w:val="1DA140F8"/>
    <w:rsid w:val="1FD764D6"/>
    <w:rsid w:val="1FE16FBA"/>
    <w:rsid w:val="2037230C"/>
    <w:rsid w:val="2096095A"/>
    <w:rsid w:val="20D86240"/>
    <w:rsid w:val="21CE0F2E"/>
    <w:rsid w:val="221D0BEA"/>
    <w:rsid w:val="22DD4281"/>
    <w:rsid w:val="24263C7F"/>
    <w:rsid w:val="253620CC"/>
    <w:rsid w:val="25981EEB"/>
    <w:rsid w:val="25BF3D61"/>
    <w:rsid w:val="25F044FF"/>
    <w:rsid w:val="26A760E3"/>
    <w:rsid w:val="26C10A61"/>
    <w:rsid w:val="26CA1A3A"/>
    <w:rsid w:val="26DF6D2B"/>
    <w:rsid w:val="27680A3B"/>
    <w:rsid w:val="27A96F19"/>
    <w:rsid w:val="2834230D"/>
    <w:rsid w:val="287A18EA"/>
    <w:rsid w:val="28F8723D"/>
    <w:rsid w:val="2A8D0D45"/>
    <w:rsid w:val="2B01664D"/>
    <w:rsid w:val="2C7458A4"/>
    <w:rsid w:val="2D644059"/>
    <w:rsid w:val="2DBE0D65"/>
    <w:rsid w:val="2DDE6B1E"/>
    <w:rsid w:val="2E1B43B4"/>
    <w:rsid w:val="2E5D5F12"/>
    <w:rsid w:val="2ED32E01"/>
    <w:rsid w:val="2FB37B4F"/>
    <w:rsid w:val="2FF20DF5"/>
    <w:rsid w:val="30730644"/>
    <w:rsid w:val="309802D5"/>
    <w:rsid w:val="318138A8"/>
    <w:rsid w:val="31F05688"/>
    <w:rsid w:val="320E2B0A"/>
    <w:rsid w:val="32252208"/>
    <w:rsid w:val="3242780E"/>
    <w:rsid w:val="330D4027"/>
    <w:rsid w:val="3330356C"/>
    <w:rsid w:val="33CF5811"/>
    <w:rsid w:val="34031BBE"/>
    <w:rsid w:val="347F2CDC"/>
    <w:rsid w:val="349C60FB"/>
    <w:rsid w:val="35095248"/>
    <w:rsid w:val="355560D1"/>
    <w:rsid w:val="386D21AD"/>
    <w:rsid w:val="387E7233"/>
    <w:rsid w:val="39C71577"/>
    <w:rsid w:val="39FC6F65"/>
    <w:rsid w:val="3A7915E5"/>
    <w:rsid w:val="3B1265AF"/>
    <w:rsid w:val="3B596812"/>
    <w:rsid w:val="3BA0652C"/>
    <w:rsid w:val="3C372D12"/>
    <w:rsid w:val="3CA23060"/>
    <w:rsid w:val="3CAF6F9F"/>
    <w:rsid w:val="3CDF39C7"/>
    <w:rsid w:val="3D762392"/>
    <w:rsid w:val="3DFC6899"/>
    <w:rsid w:val="3E3675FB"/>
    <w:rsid w:val="3EEC1919"/>
    <w:rsid w:val="3F800236"/>
    <w:rsid w:val="3F8C783C"/>
    <w:rsid w:val="3FC97A54"/>
    <w:rsid w:val="40226A0B"/>
    <w:rsid w:val="40C1378F"/>
    <w:rsid w:val="40DC5AC3"/>
    <w:rsid w:val="40F66CF8"/>
    <w:rsid w:val="40FE47B4"/>
    <w:rsid w:val="41B857FD"/>
    <w:rsid w:val="429465D8"/>
    <w:rsid w:val="43110E6A"/>
    <w:rsid w:val="431B4937"/>
    <w:rsid w:val="434336CE"/>
    <w:rsid w:val="4361706F"/>
    <w:rsid w:val="43CA1521"/>
    <w:rsid w:val="43D46F84"/>
    <w:rsid w:val="444B0E8A"/>
    <w:rsid w:val="454D6241"/>
    <w:rsid w:val="45866A2B"/>
    <w:rsid w:val="46D80A88"/>
    <w:rsid w:val="46EE0064"/>
    <w:rsid w:val="47793996"/>
    <w:rsid w:val="47A250A3"/>
    <w:rsid w:val="48AC4D69"/>
    <w:rsid w:val="494B3B16"/>
    <w:rsid w:val="49C224BB"/>
    <w:rsid w:val="4A4F5FBC"/>
    <w:rsid w:val="4A732A37"/>
    <w:rsid w:val="4B2E2D61"/>
    <w:rsid w:val="4C062CA1"/>
    <w:rsid w:val="4CF75612"/>
    <w:rsid w:val="4D1A3493"/>
    <w:rsid w:val="4D7C1855"/>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031803"/>
    <w:rsid w:val="54942BB0"/>
    <w:rsid w:val="554B0B1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4D7776"/>
    <w:rsid w:val="5E900D37"/>
    <w:rsid w:val="5F5011B7"/>
    <w:rsid w:val="5F88093C"/>
    <w:rsid w:val="5FDB251D"/>
    <w:rsid w:val="60492E1B"/>
    <w:rsid w:val="60FB7125"/>
    <w:rsid w:val="61152047"/>
    <w:rsid w:val="620467BA"/>
    <w:rsid w:val="622D2BEC"/>
    <w:rsid w:val="62F60DE0"/>
    <w:rsid w:val="63740607"/>
    <w:rsid w:val="63DD0DD3"/>
    <w:rsid w:val="63DE7402"/>
    <w:rsid w:val="6418134B"/>
    <w:rsid w:val="641F5EE8"/>
    <w:rsid w:val="642517C4"/>
    <w:rsid w:val="649C0E8F"/>
    <w:rsid w:val="65152017"/>
    <w:rsid w:val="652E7954"/>
    <w:rsid w:val="65532802"/>
    <w:rsid w:val="65BF6566"/>
    <w:rsid w:val="665D25F4"/>
    <w:rsid w:val="66E50FB1"/>
    <w:rsid w:val="674048E2"/>
    <w:rsid w:val="67D71794"/>
    <w:rsid w:val="68426F20"/>
    <w:rsid w:val="68715924"/>
    <w:rsid w:val="6A403C00"/>
    <w:rsid w:val="6A49703B"/>
    <w:rsid w:val="6B120859"/>
    <w:rsid w:val="6B4C7D1B"/>
    <w:rsid w:val="6C267EB4"/>
    <w:rsid w:val="6CC40404"/>
    <w:rsid w:val="6CD653AF"/>
    <w:rsid w:val="6D1363D3"/>
    <w:rsid w:val="6D15429C"/>
    <w:rsid w:val="6D614426"/>
    <w:rsid w:val="6DA577A5"/>
    <w:rsid w:val="6DB8609B"/>
    <w:rsid w:val="6DB87D30"/>
    <w:rsid w:val="6E804287"/>
    <w:rsid w:val="6EB30283"/>
    <w:rsid w:val="6F605325"/>
    <w:rsid w:val="6FAA67D8"/>
    <w:rsid w:val="6FE71CA1"/>
    <w:rsid w:val="705926FD"/>
    <w:rsid w:val="70817970"/>
    <w:rsid w:val="712B5699"/>
    <w:rsid w:val="72A30A90"/>
    <w:rsid w:val="72AE5309"/>
    <w:rsid w:val="72C042BE"/>
    <w:rsid w:val="73160902"/>
    <w:rsid w:val="735A6A5C"/>
    <w:rsid w:val="746D1278"/>
    <w:rsid w:val="762C29D0"/>
    <w:rsid w:val="768C0C3C"/>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38697D"/>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2019-06-10T13:55:19Z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