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A3A3BA" w14:textId="77777777" w:rsidR="00210C18" w:rsidRDefault="00210C18">
      <w:pPr>
        <w:pStyle w:val="a3"/>
        <w:jc w:val="center"/>
        <w:rPr>
          <w:rFonts w:ascii="Times New Roman" w:hAnsi="Times New Roman" w:cs="Times New Roman"/>
          <w:sz w:val="44"/>
          <w:szCs w:val="44"/>
        </w:rPr>
      </w:pPr>
    </w:p>
    <w:p w14:paraId="06CCE5A0" w14:textId="77777777" w:rsidR="00210C18" w:rsidRDefault="00BE1D1F">
      <w:pPr>
        <w:pStyle w:val="a3"/>
        <w:jc w:val="center"/>
        <w:rPr>
          <w:rFonts w:ascii="Times New Roman" w:hAnsi="Times New Roman" w:cs="Times New Roman"/>
          <w:sz w:val="44"/>
          <w:szCs w:val="44"/>
        </w:rPr>
      </w:pPr>
      <w:r>
        <w:rPr>
          <w:rFonts w:ascii="Times New Roman" w:hAnsi="Times New Roman" w:cs="Times New Roman"/>
          <w:sz w:val="44"/>
          <w:szCs w:val="44"/>
        </w:rPr>
        <w:t>结汇、售汇及付汇管理规定</w:t>
      </w:r>
    </w:p>
    <w:p w14:paraId="7D91D070" w14:textId="77777777" w:rsidR="00210C18" w:rsidRDefault="00210C18">
      <w:pPr>
        <w:pStyle w:val="a3"/>
        <w:ind w:firstLineChars="200" w:firstLine="640"/>
        <w:rPr>
          <w:rFonts w:ascii="Times New Roman" w:eastAsia="楷体_GB2312" w:hAnsi="Times New Roman" w:cs="Times New Roman"/>
          <w:sz w:val="32"/>
          <w:szCs w:val="32"/>
        </w:rPr>
      </w:pPr>
    </w:p>
    <w:p w14:paraId="5DF6440F" w14:textId="77777777" w:rsidR="00210C18" w:rsidRDefault="00BE1D1F">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 xml:space="preserve">国务院批准　</w:t>
      </w: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20</w:t>
      </w:r>
      <w:r>
        <w:rPr>
          <w:rFonts w:ascii="楷体_GB2312" w:eastAsia="楷体_GB2312" w:hAnsi="楷体_GB2312" w:cs="楷体_GB2312" w:hint="eastAsia"/>
          <w:sz w:val="32"/>
          <w:szCs w:val="32"/>
        </w:rPr>
        <w:t>日中国人民银行</w:t>
      </w:r>
      <w:r>
        <w:rPr>
          <w:rFonts w:ascii="楷体_GB2312" w:eastAsia="楷体_GB2312" w:hAnsi="楷体_GB2312" w:cs="楷体_GB2312" w:hint="eastAsia"/>
          <w:sz w:val="32"/>
          <w:szCs w:val="32"/>
        </w:rPr>
        <w:t>令</w:t>
      </w: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号</w:t>
      </w:r>
      <w:r>
        <w:rPr>
          <w:rFonts w:ascii="楷体_GB2312" w:eastAsia="楷体_GB2312" w:hAnsi="楷体_GB2312" w:cs="楷体_GB2312" w:hint="eastAsia"/>
          <w:sz w:val="32"/>
          <w:szCs w:val="32"/>
        </w:rPr>
        <w:t>发布</w:t>
      </w:r>
      <w:r>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自</w:t>
      </w: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14:paraId="4B9DD887" w14:textId="77777777" w:rsidR="00210C18" w:rsidRDefault="00BE1D1F">
      <w:pPr>
        <w:pStyle w:val="2"/>
        <w:rPr>
          <w:rFonts w:ascii="方正黑体_GBK"/>
        </w:rPr>
      </w:pPr>
      <w:r>
        <w:rPr>
          <w:rFonts w:ascii="方正黑体_GBK" w:hAnsi="Times New Roman" w:cs="Times New Roman" w:hint="eastAsia"/>
        </w:rPr>
        <w:t>第一章　总则</w:t>
      </w:r>
    </w:p>
    <w:p w14:paraId="01888E29"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仿宋_GB2312" w:eastAsia="仿宋_GB2312" w:hAnsi="Times New Roman" w:cs="Times New Roman" w:hint="eastAsia"/>
          <w:sz w:val="32"/>
          <w:szCs w:val="32"/>
        </w:rPr>
        <w:t>为规范结汇、售汇及付汇行为，实现人民币在经常项目下可兑换，特制定本规定。</w:t>
      </w:r>
    </w:p>
    <w:p w14:paraId="6EC26993" w14:textId="07A09600"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仿宋_GB2312" w:eastAsia="仿宋_GB2312" w:hAnsi="Times New Roman" w:cs="Times New Roman" w:hint="eastAsia"/>
          <w:sz w:val="32"/>
          <w:szCs w:val="32"/>
        </w:rPr>
        <w:t>经营外汇业务的银行应当按照本规定和中国人民银行、国家外汇管理局批准的业务范围办理结汇、售汇、开立外汇</w:t>
      </w:r>
      <w:r w:rsidR="005D565E">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户及对外支付业务。</w:t>
      </w:r>
    </w:p>
    <w:p w14:paraId="33590C76"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仿宋_GB2312" w:eastAsia="仿宋_GB2312" w:hAnsi="Times New Roman" w:cs="Times New Roman" w:hint="eastAsia"/>
          <w:sz w:val="32"/>
          <w:szCs w:val="32"/>
        </w:rPr>
        <w:t>境内机构外汇收入，除国家另有规定外应当及时调回境内。</w:t>
      </w:r>
    </w:p>
    <w:p w14:paraId="7A3FEAFF" w14:textId="6D0628E8"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仿宋_GB2312" w:eastAsia="仿宋_GB2312" w:hAnsi="Times New Roman" w:cs="Times New Roman" w:hint="eastAsia"/>
          <w:sz w:val="32"/>
          <w:szCs w:val="32"/>
        </w:rPr>
        <w:t>境内机构、居民个人、驻华机构及来华人员应当按照本规定办理结汇、购汇、开立外汇</w:t>
      </w:r>
      <w:r w:rsidR="00595743">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户及对外支付。</w:t>
      </w:r>
    </w:p>
    <w:p w14:paraId="01273A91"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仿宋_GB2312" w:eastAsia="仿宋_GB2312" w:hAnsi="Times New Roman" w:cs="Times New Roman" w:hint="eastAsia"/>
          <w:sz w:val="32"/>
          <w:szCs w:val="32"/>
        </w:rPr>
        <w:t>境内机构和居民个人通过经营外汇业务的银行办理对外收支时，应当按照《国际收支统计申报办法》及有关规定办理国际收支统计申报。</w:t>
      </w:r>
    </w:p>
    <w:p w14:paraId="58FE7EF4" w14:textId="77777777" w:rsidR="00210C18" w:rsidRDefault="00BE1D1F">
      <w:pPr>
        <w:pStyle w:val="2"/>
        <w:rPr>
          <w:rFonts w:ascii="方正黑体_GBK"/>
        </w:rPr>
      </w:pPr>
      <w:r>
        <w:rPr>
          <w:rFonts w:ascii="方正黑体_GBK" w:hAnsi="Times New Roman" w:cs="Times New Roman" w:hint="eastAsia"/>
        </w:rPr>
        <w:t>第二章　经常项目下的结汇、售汇与付汇</w:t>
      </w:r>
    </w:p>
    <w:p w14:paraId="36592BE9"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仿宋_GB2312" w:eastAsia="仿宋_GB2312" w:hAnsi="Times New Roman" w:cs="Times New Roman" w:hint="eastAsia"/>
          <w:sz w:val="32"/>
          <w:szCs w:val="32"/>
        </w:rPr>
        <w:t>除本规定第七条、第八条、第十条限定的范围</w:t>
      </w:r>
      <w:r>
        <w:rPr>
          <w:rFonts w:ascii="仿宋_GB2312" w:eastAsia="仿宋_GB2312" w:hAnsi="Times New Roman" w:cs="Times New Roman" w:hint="eastAsia"/>
          <w:sz w:val="32"/>
          <w:szCs w:val="32"/>
        </w:rPr>
        <w:lastRenderedPageBreak/>
        <w:t>和数量外，境内机构取得的下列外汇应当结汇：</w:t>
      </w:r>
    </w:p>
    <w:p w14:paraId="15F663B6"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出口或者先支后收转口货物及其他交易行为收入的外汇。其中用跟单信用证</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保函和跟单托收方式结算的贸易出口外汇可以凭有效商业单据结汇，用汇款方式结算的贸易出口外汇持出口收汇核销单结汇；</w:t>
      </w:r>
    </w:p>
    <w:p w14:paraId="285BFD55"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境外贷款项下国际招标中标收入的外汇；</w:t>
      </w:r>
    </w:p>
    <w:p w14:paraId="6C1272E7"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海关监管下境内经营免税商品收入的外汇；</w:t>
      </w:r>
    </w:p>
    <w:p w14:paraId="1ACEFDA2"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交通运输</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包括各种运输方式</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及港口</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含空港</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、邮电</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不包括国际汇兑款</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、广告、咨询、展览、寄售、维修等行业及各类代理业务提供商品或者服务收入的外汇；</w:t>
      </w:r>
    </w:p>
    <w:p w14:paraId="11E4F11E"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行政、司法机关收入的各项外汇规费、罚没款等；</w:t>
      </w:r>
    </w:p>
    <w:p w14:paraId="1702C765"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土地使用权、著作权、商标权、专利权、非专利技术、商誉等无形资产转让收入的外汇，但上述无形资产属于个人所有的，可不结汇；</w:t>
      </w:r>
    </w:p>
    <w:p w14:paraId="60A829B5"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七</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境外投资企业汇回的外汇利润、对外经援项下收回的外汇和境外资产的外汇收入；</w:t>
      </w:r>
    </w:p>
    <w:p w14:paraId="2E54F18D"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八</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对外索赔收入的外汇、退回的外汇保证金等；</w:t>
      </w:r>
    </w:p>
    <w:p w14:paraId="0BC37E2D"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九</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出租房地产和其他外汇资产收入的外汇；</w:t>
      </w:r>
    </w:p>
    <w:p w14:paraId="65CC308E"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保险机构受理外汇保险所得外汇收入；</w:t>
      </w:r>
    </w:p>
    <w:p w14:paraId="656F97DE"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取得《经营外汇业务许可证》的金融机构经营外汇业务的净收入；</w:t>
      </w:r>
    </w:p>
    <w:p w14:paraId="05220927"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国外捐赠、资助及援助收入的外汇；</w:t>
      </w:r>
    </w:p>
    <w:p w14:paraId="05C5C70F"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w:t>
      </w:r>
      <w:r>
        <w:rPr>
          <w:rFonts w:ascii="仿宋_GB2312" w:eastAsia="仿宋_GB2312" w:hAnsi="Times New Roman" w:cs="Times New Roman" w:hint="eastAsia"/>
          <w:sz w:val="32"/>
          <w:szCs w:val="32"/>
        </w:rPr>
        <w:t>十三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国家外汇管理局规定的其他应当结汇的外汇。</w:t>
      </w:r>
    </w:p>
    <w:p w14:paraId="0F722C2C" w14:textId="543E69B2"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仿宋_GB2312" w:eastAsia="仿宋_GB2312" w:hAnsi="Times New Roman" w:cs="Times New Roman" w:hint="eastAsia"/>
          <w:sz w:val="32"/>
          <w:szCs w:val="32"/>
        </w:rPr>
        <w:t>境内机构</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不含外商投资企业</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的下列外汇，可以向国家外汇管理局及其分支局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以下简称</w:t>
      </w:r>
      <w:r>
        <w:rPr>
          <w:rFonts w:ascii="仿宋_GB2312" w:eastAsia="仿宋_GB2312" w:hAnsi="宋体" w:cs="Times New Roman" w:hint="eastAsia"/>
          <w:sz w:val="32"/>
          <w:szCs w:val="32"/>
        </w:rPr>
        <w:t>“</w:t>
      </w:r>
      <w:r>
        <w:rPr>
          <w:rFonts w:ascii="仿宋_GB2312" w:eastAsia="仿宋_GB2312" w:hAnsi="Times New Roman" w:cs="Times New Roman" w:hint="eastAsia"/>
          <w:sz w:val="32"/>
          <w:szCs w:val="32"/>
        </w:rPr>
        <w:t>外汇局</w:t>
      </w:r>
      <w:r>
        <w:rPr>
          <w:rFonts w:ascii="仿宋_GB2312" w:eastAsia="仿宋_GB2312" w:hAnsi="宋体" w:cs="Times New Roman" w:hint="eastAsia"/>
          <w:sz w:val="32"/>
          <w:szCs w:val="32"/>
        </w:rPr>
        <w:t>”</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申请，在经营外汇业务的银行开立外汇</w:t>
      </w:r>
      <w:r w:rsidR="00AA4126">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户，按照规定办理结汇：</w:t>
      </w:r>
    </w:p>
    <w:p w14:paraId="2A153D6C"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经营境外承包工程、向境外提供劳务、技术合作及其他服务业务的公司，在上述业务项目进行过程中收到的业务往来外汇；</w:t>
      </w:r>
    </w:p>
    <w:p w14:paraId="0BE21CDF"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从事代理对外或者境外业务的机构代收</w:t>
      </w:r>
      <w:r>
        <w:rPr>
          <w:rFonts w:ascii="仿宋_GB2312" w:eastAsia="仿宋_GB2312" w:hAnsi="Times New Roman" w:cs="Times New Roman" w:hint="eastAsia"/>
          <w:sz w:val="32"/>
          <w:szCs w:val="32"/>
        </w:rPr>
        <w:t>代付的外汇；</w:t>
      </w:r>
    </w:p>
    <w:p w14:paraId="7C7A592C"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暂收待付或者暂收待结项下的外汇，包括境外汇入的投标保证金、履约保证金、先收后支的转口贸易收汇、邮电部门办理国际汇兑业务的外汇汇兑款、一类旅行社收取的国外旅游机构预付的外汇、铁路部门办理境外保价运输业务收取的外汇、海关收取的外汇保证金、抵押金等；</w:t>
      </w:r>
    </w:p>
    <w:p w14:paraId="7CBBD5BB"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保险机构受理外汇保险、需向境外分保以及尚未结算的保费。</w:t>
      </w:r>
    </w:p>
    <w:p w14:paraId="4D0364BD"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上述各项外汇的净收入，应当按照规定的时间全部卖给外汇指定银行。</w:t>
      </w:r>
    </w:p>
    <w:p w14:paraId="163C7F9A"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仿宋_GB2312" w:eastAsia="仿宋_GB2312" w:hAnsi="Times New Roman" w:cs="Times New Roman" w:hint="eastAsia"/>
          <w:sz w:val="32"/>
          <w:szCs w:val="32"/>
        </w:rPr>
        <w:t>捐赠、资助及援助合同规定用于境外支付的外汇，经外汇局批准后方可保留。</w:t>
      </w:r>
    </w:p>
    <w:p w14:paraId="29F801BA"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仿宋_GB2312" w:eastAsia="仿宋_GB2312" w:hAnsi="Times New Roman" w:cs="Times New Roman" w:hint="eastAsia"/>
          <w:sz w:val="32"/>
          <w:szCs w:val="32"/>
        </w:rPr>
        <w:t>下列范围的外汇，可以保留：</w:t>
      </w:r>
    </w:p>
    <w:p w14:paraId="2A66FAB0"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外国驻华使领馆、国际组织及其他境外法人驻华机</w:t>
      </w:r>
      <w:r>
        <w:rPr>
          <w:rFonts w:ascii="仿宋_GB2312" w:eastAsia="仿宋_GB2312" w:hAnsi="Times New Roman" w:cs="Times New Roman" w:hint="eastAsia"/>
          <w:sz w:val="32"/>
          <w:szCs w:val="32"/>
        </w:rPr>
        <w:lastRenderedPageBreak/>
        <w:t>构的外汇；</w:t>
      </w:r>
    </w:p>
    <w:p w14:paraId="4BABFBAB"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居民个人及来华人员的外汇。</w:t>
      </w:r>
    </w:p>
    <w:p w14:paraId="1FE29EC6"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仿宋_GB2312" w:eastAsia="仿宋_GB2312" w:hAnsi="Times New Roman" w:cs="Times New Roman" w:hint="eastAsia"/>
          <w:sz w:val="32"/>
          <w:szCs w:val="32"/>
        </w:rPr>
        <w:t>外商投资企业经常项目下外汇收入可在外汇局核定的最高金额以内保留外汇，超出部分应当卖给外汇指定银行，或者通过外汇调剂中心卖出。</w:t>
      </w:r>
    </w:p>
    <w:p w14:paraId="53F1C8A0"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仿宋_GB2312" w:eastAsia="仿宋_GB2312" w:hAnsi="Times New Roman" w:cs="Times New Roman" w:hint="eastAsia"/>
          <w:sz w:val="32"/>
          <w:szCs w:val="32"/>
        </w:rPr>
        <w:t>超过等值</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万美元的现钞结汇，结汇人应当向外汇指定银行提供真实的身份证明和外汇来源证明，外汇指定银行予以结汇登记后报外汇局备案。</w:t>
      </w:r>
    </w:p>
    <w:p w14:paraId="7DAA92E3" w14:textId="48F0E583"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仿宋_GB2312" w:eastAsia="仿宋_GB2312" w:hAnsi="Times New Roman" w:cs="Times New Roman" w:hint="eastAsia"/>
          <w:sz w:val="32"/>
          <w:szCs w:val="32"/>
        </w:rPr>
        <w:t>本规定第七、八、九、十条允许开立外汇</w:t>
      </w:r>
      <w:r w:rsidR="00907105">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户的境内机构和居民个人、驻华机构及来华人员，应当按照外汇</w:t>
      </w:r>
      <w:r w:rsidR="00907105">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户管理的有关规定，到经营外汇业务的银行办理开</w:t>
      </w:r>
      <w:r>
        <w:rPr>
          <w:rFonts w:ascii="仿宋_GB2312" w:eastAsia="仿宋_GB2312" w:hAnsi="Times New Roman" w:cs="Times New Roman" w:hint="eastAsia"/>
          <w:sz w:val="32"/>
          <w:szCs w:val="32"/>
        </w:rPr>
        <w:t>户手续。</w:t>
      </w:r>
    </w:p>
    <w:p w14:paraId="13D21CD5" w14:textId="552106CD"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仿宋_GB2312" w:eastAsia="仿宋_GB2312" w:hAnsi="Times New Roman" w:cs="Times New Roman" w:hint="eastAsia"/>
          <w:sz w:val="32"/>
          <w:szCs w:val="32"/>
        </w:rPr>
        <w:t>境内机构下列贸易及非贸易经营性对外支付用汇，持与支付方式相应的有效商业单据和所列有效凭证从其外汇</w:t>
      </w:r>
      <w:r w:rsidR="00A61571">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户中支付或者到外汇指定银行兑付：</w:t>
      </w:r>
    </w:p>
    <w:p w14:paraId="7EA8CF59"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用跟单信用证</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保函方式结算的贸易进口，如需在开证时购汇，持进口合同、进口付汇核销单、开证申请书；如需在付汇时购汇，还应当提供信用证结算方式要求的有效商业单据。核销时必须凭正本进口货物报关单办理；</w:t>
      </w:r>
    </w:p>
    <w:p w14:paraId="2D277D79"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用跟单托收方式结算的贸易进口，持进口合同、进口付汇核销单、进口付汇通知书及跟单托收结算方式要求的有效商业单据。核销时必须凭正本进口货物报关单办理；</w:t>
      </w:r>
    </w:p>
    <w:p w14:paraId="5F055369"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用汇款方式结算的贸易进口，持进口合同、进口付汇核销单、发票、正本进口货物报关单、正本运输单据，若提单上的</w:t>
      </w:r>
      <w:r>
        <w:rPr>
          <w:rFonts w:ascii="仿宋_GB2312" w:eastAsia="仿宋_GB2312" w:hAnsi="宋体" w:cs="Times New Roman" w:hint="eastAsia"/>
          <w:sz w:val="32"/>
          <w:szCs w:val="32"/>
        </w:rPr>
        <w:t>“</w:t>
      </w:r>
      <w:r>
        <w:rPr>
          <w:rFonts w:ascii="仿宋_GB2312" w:eastAsia="仿宋_GB2312" w:hAnsi="Times New Roman" w:cs="Times New Roman" w:hint="eastAsia"/>
          <w:sz w:val="32"/>
          <w:szCs w:val="32"/>
        </w:rPr>
        <w:t>提货人</w:t>
      </w:r>
      <w:r>
        <w:rPr>
          <w:rFonts w:ascii="仿宋_GB2312" w:eastAsia="仿宋_GB2312" w:hAnsi="宋体" w:cs="Times New Roman" w:hint="eastAsia"/>
          <w:sz w:val="32"/>
          <w:szCs w:val="32"/>
        </w:rPr>
        <w:t>”</w:t>
      </w:r>
      <w:r>
        <w:rPr>
          <w:rFonts w:ascii="仿宋_GB2312" w:eastAsia="仿宋_GB2312" w:hAnsi="Times New Roman" w:cs="Times New Roman" w:hint="eastAsia"/>
          <w:sz w:val="32"/>
          <w:szCs w:val="32"/>
        </w:rPr>
        <w:t>和报关单上的</w:t>
      </w:r>
      <w:r>
        <w:rPr>
          <w:rFonts w:ascii="仿宋_GB2312" w:eastAsia="仿宋_GB2312" w:hAnsi="宋体" w:cs="Times New Roman" w:hint="eastAsia"/>
          <w:sz w:val="32"/>
          <w:szCs w:val="32"/>
        </w:rPr>
        <w:t>“</w:t>
      </w:r>
      <w:r>
        <w:rPr>
          <w:rFonts w:ascii="仿宋_GB2312" w:eastAsia="仿宋_GB2312" w:hAnsi="Times New Roman" w:cs="Times New Roman" w:hint="eastAsia"/>
          <w:sz w:val="32"/>
          <w:szCs w:val="32"/>
        </w:rPr>
        <w:t>经营单位</w:t>
      </w:r>
      <w:r>
        <w:rPr>
          <w:rFonts w:ascii="仿宋_GB2312" w:eastAsia="仿宋_GB2312" w:hAnsi="宋体" w:cs="Times New Roman" w:hint="eastAsia"/>
          <w:sz w:val="32"/>
          <w:szCs w:val="32"/>
        </w:rPr>
        <w:t>”</w:t>
      </w:r>
      <w:r>
        <w:rPr>
          <w:rFonts w:ascii="仿宋_GB2312" w:eastAsia="仿宋_GB2312" w:hAnsi="Times New Roman" w:cs="Times New Roman" w:hint="eastAsia"/>
          <w:sz w:val="32"/>
          <w:szCs w:val="32"/>
        </w:rPr>
        <w:t>与进口合同中列明的买方名称不一致，还应当提供两者间的代理协议；</w:t>
      </w:r>
    </w:p>
    <w:p w14:paraId="6A5DD5C8"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进口项下不超过合同总金额的</w:t>
      </w:r>
      <w:r>
        <w:rPr>
          <w:rFonts w:ascii="仿宋_GB2312" w:eastAsia="仿宋_GB2312" w:hAnsi="Times New Roman" w:cs="Times New Roman" w:hint="eastAsia"/>
          <w:sz w:val="32"/>
          <w:szCs w:val="32"/>
        </w:rPr>
        <w:t>15%</w:t>
      </w:r>
      <w:r>
        <w:rPr>
          <w:rFonts w:ascii="仿宋_GB2312" w:eastAsia="仿宋_GB2312" w:hAnsi="Times New Roman" w:cs="Times New Roman" w:hint="eastAsia"/>
          <w:sz w:val="32"/>
          <w:szCs w:val="32"/>
        </w:rPr>
        <w:t>或者虽超过</w:t>
      </w:r>
      <w:r>
        <w:rPr>
          <w:rFonts w:ascii="仿宋_GB2312" w:eastAsia="仿宋_GB2312" w:hAnsi="Times New Roman" w:cs="Times New Roman" w:hint="eastAsia"/>
          <w:sz w:val="32"/>
          <w:szCs w:val="32"/>
        </w:rPr>
        <w:t>15%</w:t>
      </w:r>
      <w:r>
        <w:rPr>
          <w:rFonts w:ascii="仿宋_GB2312" w:eastAsia="仿宋_GB2312" w:hAnsi="Times New Roman" w:cs="Times New Roman" w:hint="eastAsia"/>
          <w:sz w:val="32"/>
          <w:szCs w:val="32"/>
        </w:rPr>
        <w:t>但未超过等值</w:t>
      </w:r>
      <w:r>
        <w:rPr>
          <w:rFonts w:ascii="仿宋_GB2312" w:eastAsia="仿宋_GB2312" w:hAnsi="Times New Roman" w:cs="Times New Roman" w:hint="eastAsia"/>
          <w:sz w:val="32"/>
          <w:szCs w:val="32"/>
        </w:rPr>
        <w:t>10</w:t>
      </w:r>
      <w:r>
        <w:rPr>
          <w:rFonts w:ascii="仿宋_GB2312" w:eastAsia="仿宋_GB2312" w:hAnsi="Times New Roman" w:cs="Times New Roman" w:hint="eastAsia"/>
          <w:sz w:val="32"/>
          <w:szCs w:val="32"/>
        </w:rPr>
        <w:t>万美元的预付货款，持进口合同、进口付汇核销单；</w:t>
      </w:r>
    </w:p>
    <w:p w14:paraId="2CDF566A"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上述</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至</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项下进口，实行进口配额管理或者特定产品进口管理的货物，还应当提供有关部门签发的许可证或者进口证明；进口实行自动登记制的货物，还应当提供填好的登记表格。</w:t>
      </w:r>
    </w:p>
    <w:p w14:paraId="0F02E48C"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进口项下的运输费、保险费，持进口合同、正本运输费收据和保险费收据；</w:t>
      </w:r>
    </w:p>
    <w:p w14:paraId="7D067FA2" w14:textId="48F4C96B"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出口项下不超过合同总金额</w:t>
      </w:r>
      <w:r>
        <w:rPr>
          <w:rFonts w:ascii="仿宋_GB2312" w:eastAsia="仿宋_GB2312" w:hAnsi="Times New Roman" w:cs="Times New Roman" w:hint="eastAsia"/>
          <w:sz w:val="32"/>
          <w:szCs w:val="32"/>
        </w:rPr>
        <w:t>2%</w:t>
      </w:r>
      <w:r>
        <w:rPr>
          <w:rFonts w:ascii="仿宋_GB2312" w:eastAsia="仿宋_GB2312" w:hAnsi="Times New Roman" w:cs="Times New Roman" w:hint="eastAsia"/>
          <w:sz w:val="32"/>
          <w:szCs w:val="32"/>
        </w:rPr>
        <w:t>的暗佣</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暗扣</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和</w:t>
      </w:r>
      <w:r>
        <w:rPr>
          <w:rFonts w:ascii="仿宋_GB2312" w:eastAsia="仿宋_GB2312" w:hAnsi="Times New Roman" w:cs="Times New Roman" w:hint="eastAsia"/>
          <w:sz w:val="32"/>
          <w:szCs w:val="32"/>
        </w:rPr>
        <w:t>5%</w:t>
      </w:r>
      <w:r>
        <w:rPr>
          <w:rFonts w:ascii="仿宋_GB2312" w:eastAsia="仿宋_GB2312" w:hAnsi="Times New Roman" w:cs="Times New Roman" w:hint="eastAsia"/>
          <w:sz w:val="32"/>
          <w:szCs w:val="32"/>
        </w:rPr>
        <w:t>的明佣</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明扣</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或者虽超过上述比例但未超过等值</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万美元的佣金，持出口合同或者佣金协议、结汇水单或者收</w:t>
      </w:r>
      <w:r w:rsidR="008954AA">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通知；出口项下的运输费、保险费，持出口合同、正本运输费收据和保险费收据；</w:t>
      </w:r>
    </w:p>
    <w:p w14:paraId="7D5B7391"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七</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进口项下的尾款，持进口合同、进口付</w:t>
      </w:r>
      <w:r>
        <w:rPr>
          <w:rFonts w:ascii="仿宋_GB2312" w:eastAsia="仿宋_GB2312" w:hAnsi="Times New Roman" w:cs="Times New Roman" w:hint="eastAsia"/>
          <w:sz w:val="32"/>
          <w:szCs w:val="32"/>
        </w:rPr>
        <w:t>汇核销单、验货合格证明；</w:t>
      </w:r>
    </w:p>
    <w:p w14:paraId="386D7C7C"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八</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进出口项下的资料费、技术费、信息费等从属费用，持进口合同或者出口合同、进口付汇核销单或者出口收汇核</w:t>
      </w:r>
      <w:r>
        <w:rPr>
          <w:rFonts w:ascii="仿宋_GB2312" w:eastAsia="仿宋_GB2312" w:hAnsi="Times New Roman" w:cs="Times New Roman" w:hint="eastAsia"/>
          <w:sz w:val="32"/>
          <w:szCs w:val="32"/>
        </w:rPr>
        <w:lastRenderedPageBreak/>
        <w:t>销单、发票或者收费单据及进口或者出口单位负责人签字的说明书；</w:t>
      </w:r>
    </w:p>
    <w:p w14:paraId="5B4D6FCC"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九</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从保税区购买商品以及购买国外入境展览展品的用汇，持</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至</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八</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项规定的有效凭证和有效商业单据；</w:t>
      </w:r>
    </w:p>
    <w:p w14:paraId="44C6BB47"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专利权、著作权、商标、计算机软件等无形资产的进口，持进口合同或者协议；</w:t>
      </w:r>
    </w:p>
    <w:p w14:paraId="170B684A" w14:textId="69DAB2C9"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出口项下对外退赔外汇，持结汇水单或者收</w:t>
      </w:r>
      <w:r w:rsidR="00CC044A">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通知、索赔协议、理赔证明和已冲减出口收汇核销的证明；</w:t>
      </w:r>
    </w:p>
    <w:p w14:paraId="2BAC9C07"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境外承包工程所需的投标保证金</w:t>
      </w:r>
      <w:r>
        <w:rPr>
          <w:rFonts w:ascii="仿宋_GB2312" w:eastAsia="仿宋_GB2312" w:hAnsi="Times New Roman" w:cs="Times New Roman" w:hint="eastAsia"/>
          <w:sz w:val="32"/>
          <w:szCs w:val="32"/>
        </w:rPr>
        <w:t>持投标文件，履约保证金及垫付工程款项持合同。</w:t>
      </w:r>
    </w:p>
    <w:p w14:paraId="17EA746A" w14:textId="18026528"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仿宋_GB2312" w:eastAsia="仿宋_GB2312" w:hAnsi="Times New Roman" w:cs="Times New Roman" w:hint="eastAsia"/>
          <w:sz w:val="32"/>
          <w:szCs w:val="32"/>
        </w:rPr>
        <w:t>境内机构下列贸易及非贸易经营性对外支付，经营外汇业务的银行凭用户提供的支付清单先从其外汇</w:t>
      </w:r>
      <w:r w:rsidR="00752EB3">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户中支付或者兑付，事后核查：</w:t>
      </w:r>
    </w:p>
    <w:p w14:paraId="1880BF02"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经国务院批准的免税品公司按照规定范围经营免税商品的进口支付；</w:t>
      </w:r>
    </w:p>
    <w:p w14:paraId="1E2C618E"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民航、海运、铁道部门</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机构</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支付境外国际联运费、设备维修费、站场港口使用费、燃料供应费、保险费、非融资性租赁费及其他服务费用；</w:t>
      </w:r>
    </w:p>
    <w:p w14:paraId="27A75669"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民航、海运、铁道部门</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机构</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支付国际营运人员伙食、津贴补助；</w:t>
      </w:r>
    </w:p>
    <w:p w14:paraId="59AABB1B"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邮电部门支付国际邮政、电信业务费用。</w:t>
      </w:r>
    </w:p>
    <w:p w14:paraId="05D8E729" w14:textId="47000C19"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仿宋_GB2312" w:eastAsia="仿宋_GB2312" w:hAnsi="Times New Roman" w:cs="Times New Roman" w:hint="eastAsia"/>
          <w:sz w:val="32"/>
          <w:szCs w:val="32"/>
        </w:rPr>
        <w:t>境内机构下列</w:t>
      </w:r>
      <w:r>
        <w:rPr>
          <w:rFonts w:ascii="仿宋_GB2312" w:eastAsia="仿宋_GB2312" w:hAnsi="Times New Roman" w:cs="Times New Roman" w:hint="eastAsia"/>
          <w:sz w:val="32"/>
          <w:szCs w:val="32"/>
        </w:rPr>
        <w:t>对外支付用汇，由外汇局审核</w:t>
      </w:r>
      <w:r>
        <w:rPr>
          <w:rFonts w:ascii="仿宋_GB2312" w:eastAsia="仿宋_GB2312" w:hAnsi="Times New Roman" w:cs="Times New Roman" w:hint="eastAsia"/>
          <w:sz w:val="32"/>
          <w:szCs w:val="32"/>
        </w:rPr>
        <w:lastRenderedPageBreak/>
        <w:t>其真实性后，从其外汇</w:t>
      </w:r>
      <w:r w:rsidR="00683FCB">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户中支付或者到外汇指定银行兑付：</w:t>
      </w:r>
    </w:p>
    <w:p w14:paraId="6D28B608"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超过本规定第十三条</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规定比例和金额的预付货款；</w:t>
      </w:r>
    </w:p>
    <w:p w14:paraId="4DDC3C34"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超过本规定第十三条</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规定比例和金额的佣金；</w:t>
      </w:r>
    </w:p>
    <w:p w14:paraId="14FE74EE"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转口贸易项下先支后收的对外支付；</w:t>
      </w:r>
    </w:p>
    <w:p w14:paraId="00D8805E"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偿还外债利息；</w:t>
      </w:r>
    </w:p>
    <w:p w14:paraId="0CC14894"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超过等值</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万美元的现钞提取。</w:t>
      </w:r>
    </w:p>
    <w:p w14:paraId="6E0A129B" w14:textId="62029A4F"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仿宋_GB2312" w:eastAsia="仿宋_GB2312" w:hAnsi="Times New Roman" w:cs="Times New Roman" w:hint="eastAsia"/>
          <w:sz w:val="32"/>
          <w:szCs w:val="32"/>
        </w:rPr>
        <w:t>境内机构偿还境内中资金融机构外汇贷款利息，持《外汇</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转</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贷款登记证》、借贷合同及债权人的付息通知单，从其外汇</w:t>
      </w:r>
      <w:r w:rsidR="00022232">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户中支付或者到外汇指定银行兑付。</w:t>
      </w:r>
    </w:p>
    <w:p w14:paraId="1378BC89"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仿宋_GB2312" w:eastAsia="仿宋_GB2312" w:hAnsi="Times New Roman" w:cs="Times New Roman" w:hint="eastAsia"/>
          <w:sz w:val="32"/>
          <w:szCs w:val="32"/>
        </w:rPr>
        <w:t>财政预算内的机关、事业单位和社会团体的非贸易非经营性用汇</w:t>
      </w:r>
      <w:r>
        <w:rPr>
          <w:rFonts w:ascii="仿宋_GB2312" w:eastAsia="仿宋_GB2312" w:hAnsi="Times New Roman" w:cs="Times New Roman" w:hint="eastAsia"/>
          <w:sz w:val="32"/>
          <w:szCs w:val="32"/>
        </w:rPr>
        <w:t>，按照《非贸易非经营性外汇财务管理暂行规定》办理。</w:t>
      </w:r>
    </w:p>
    <w:p w14:paraId="19E58526" w14:textId="49A96AD9"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仿宋_GB2312" w:eastAsia="仿宋_GB2312" w:hAnsi="Times New Roman" w:cs="Times New Roman" w:hint="eastAsia"/>
          <w:sz w:val="32"/>
          <w:szCs w:val="32"/>
        </w:rPr>
        <w:t>财政预算外的境内机构下列非经营性用汇，持所列有效凭证从其外汇</w:t>
      </w:r>
      <w:r w:rsidR="003F3D5C">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户中支付或者到外汇指定银行兑付：</w:t>
      </w:r>
    </w:p>
    <w:p w14:paraId="1531D12F"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在境外举办展览、招商、培训及拍摄影视片等用汇，持合同、境外机构的支付通知书及主管部门批准文件；</w:t>
      </w:r>
    </w:p>
    <w:p w14:paraId="3332AB67"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对外宣传费、对外援助费、对外捐赠外汇、国际组织会费、参加国际会议的注册费、报名费，持主管部门的批准文件及有关函件；</w:t>
      </w:r>
    </w:p>
    <w:p w14:paraId="39E65227"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在境外设立代表处或者办事机构的开办费和年度</w:t>
      </w:r>
      <w:r>
        <w:rPr>
          <w:rFonts w:ascii="仿宋_GB2312" w:eastAsia="仿宋_GB2312" w:hAnsi="Times New Roman" w:cs="Times New Roman" w:hint="eastAsia"/>
          <w:sz w:val="32"/>
          <w:szCs w:val="32"/>
        </w:rPr>
        <w:lastRenderedPageBreak/>
        <w:t>预算经费，持主管部门批准设立该机构的批准文件和经费预算书；</w:t>
      </w:r>
    </w:p>
    <w:p w14:paraId="53EA83CC" w14:textId="4454AA2B"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国家教委国外考试</w:t>
      </w:r>
      <w:r>
        <w:rPr>
          <w:rFonts w:ascii="仿宋_GB2312" w:eastAsia="仿宋_GB2312" w:hAnsi="Times New Roman" w:cs="Times New Roman" w:hint="eastAsia"/>
          <w:sz w:val="32"/>
          <w:szCs w:val="32"/>
        </w:rPr>
        <w:t>协调机构支付境外的考试费，持对外合同和国外考试机构的</w:t>
      </w:r>
      <w:r w:rsidR="00D01F01">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单或者结算通知书；</w:t>
      </w:r>
    </w:p>
    <w:p w14:paraId="66CF1CF2"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在境外办理商标、版权注册、申请专利和法律、咨询服务等所需费用，持合同和发票；</w:t>
      </w:r>
    </w:p>
    <w:p w14:paraId="32966913"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因公出国费用，持国家授权部门出国任务批件。</w:t>
      </w:r>
    </w:p>
    <w:p w14:paraId="4F49CCBA" w14:textId="5E4EDB0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上述</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至</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项以外的非经营性用汇，由外汇局审核其真实性以后，从其外汇</w:t>
      </w:r>
      <w:r w:rsidR="002E7279">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户中支付或者到外汇指定银行兑付。</w:t>
      </w:r>
    </w:p>
    <w:p w14:paraId="5D3FD8B4"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仿宋_GB2312" w:eastAsia="仿宋_GB2312" w:hAnsi="Times New Roman" w:cs="Times New Roman" w:hint="eastAsia"/>
          <w:sz w:val="32"/>
          <w:szCs w:val="32"/>
        </w:rPr>
        <w:t>居民个人的因私用汇，按照《境内居民因私兑换外汇办法》和《境内居民外汇存款汇出境外的规定》办理。</w:t>
      </w:r>
    </w:p>
    <w:p w14:paraId="75696920"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仿宋_GB2312" w:eastAsia="仿宋_GB2312" w:hAnsi="Times New Roman" w:cs="Times New Roman" w:hint="eastAsia"/>
          <w:sz w:val="32"/>
          <w:szCs w:val="32"/>
        </w:rPr>
        <w:t>居民个人移居出境后，下列合法人民币收益，持本人身份证明和所列有效凭证到外汇局授权的外汇指定银行兑付：</w:t>
      </w:r>
    </w:p>
    <w:p w14:paraId="67F2D481"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人民币存款利息，持人民币存款利息清单；</w:t>
      </w:r>
    </w:p>
    <w:p w14:paraId="69CF37A5"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房产出租收入的租金，持房产租赁合同和房产出租管理部门的证明；</w:t>
      </w:r>
    </w:p>
    <w:p w14:paraId="4D96AC87"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其他资产的收益，持有关的证明材料和收益清单。</w:t>
      </w:r>
    </w:p>
    <w:p w14:paraId="28658CFD" w14:textId="3460B618"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仿宋_GB2312" w:eastAsia="仿宋_GB2312" w:hAnsi="Times New Roman" w:cs="Times New Roman" w:hint="eastAsia"/>
          <w:sz w:val="32"/>
          <w:szCs w:val="32"/>
        </w:rPr>
        <w:t>外商投资企业外方投资者依法纳税后的利润、红利的汇出，持董事会利润分配决议书，从其外汇</w:t>
      </w:r>
      <w:r w:rsidR="000F2AE0">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lastRenderedPageBreak/>
        <w:t>户中支付或者到外汇指定银行兑付。</w:t>
      </w:r>
    </w:p>
    <w:p w14:paraId="5ADE867F"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外商投</w:t>
      </w:r>
      <w:r>
        <w:rPr>
          <w:rFonts w:ascii="仿宋_GB2312" w:eastAsia="仿宋_GB2312" w:hAnsi="Times New Roman" w:cs="Times New Roman" w:hint="eastAsia"/>
          <w:sz w:val="32"/>
          <w:szCs w:val="32"/>
        </w:rPr>
        <w:t>资企业中外籍、华侨、港澳台职工依法纳税后的人民币工资及其他正当收益，持证明材料到外汇指定银行兑付。</w:t>
      </w:r>
    </w:p>
    <w:p w14:paraId="25DAA602" w14:textId="30A81762"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仿宋_GB2312" w:eastAsia="仿宋_GB2312" w:hAnsi="Times New Roman" w:cs="Times New Roman" w:hint="eastAsia"/>
          <w:sz w:val="32"/>
          <w:szCs w:val="32"/>
        </w:rPr>
        <w:t>按照规定应当以外币支付的股息，依法纳税后持董事会利润分配决议书从其外汇</w:t>
      </w:r>
      <w:r w:rsidR="000F2AE0">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户中支付或者到外汇指定银行兑付。</w:t>
      </w:r>
    </w:p>
    <w:p w14:paraId="501F5578"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仿宋_GB2312" w:eastAsia="仿宋_GB2312" w:hAnsi="Times New Roman" w:cs="Times New Roman" w:hint="eastAsia"/>
          <w:sz w:val="32"/>
          <w:szCs w:val="32"/>
        </w:rPr>
        <w:t>驻华机构及来华人员的合法人民币收入，需汇出境外时，持证明材料和收费清单到外汇局授权的外汇指定银行兑付。</w:t>
      </w:r>
    </w:p>
    <w:p w14:paraId="5D1EC604"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仿宋_GB2312" w:eastAsia="仿宋_GB2312" w:hAnsi="Times New Roman" w:cs="Times New Roman" w:hint="eastAsia"/>
          <w:sz w:val="32"/>
          <w:szCs w:val="32"/>
        </w:rPr>
        <w:t>驻华机构及来华人员从境外携入或者在境内购买的自用物品、设备、用具等，出售后所得人民币款项，需汇出境外时，持工商登记证或者本人身份证明和出售凭证到外汇局授权的外汇指定银</w:t>
      </w:r>
      <w:r>
        <w:rPr>
          <w:rFonts w:ascii="仿宋_GB2312" w:eastAsia="仿宋_GB2312" w:hAnsi="Times New Roman" w:cs="Times New Roman" w:hint="eastAsia"/>
          <w:sz w:val="32"/>
          <w:szCs w:val="32"/>
        </w:rPr>
        <w:t>行兑付。</w:t>
      </w:r>
    </w:p>
    <w:p w14:paraId="009F771A"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仿宋_GB2312" w:eastAsia="仿宋_GB2312" w:hAnsi="Times New Roman" w:cs="Times New Roman" w:hint="eastAsia"/>
          <w:sz w:val="32"/>
          <w:szCs w:val="32"/>
        </w:rPr>
        <w:t>临时来华的外国人、华侨、港澳台同胞出境时未用完的人民币，可以凭本人护照、原兑换水单</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有效期为</w:t>
      </w:r>
      <w:r>
        <w:rPr>
          <w:rFonts w:ascii="仿宋_GB2312" w:eastAsia="仿宋_GB2312" w:hAnsi="Times New Roman" w:cs="Times New Roman" w:hint="eastAsia"/>
          <w:sz w:val="32"/>
          <w:szCs w:val="32"/>
        </w:rPr>
        <w:t>6</w:t>
      </w:r>
      <w:r>
        <w:rPr>
          <w:rFonts w:ascii="仿宋_GB2312" w:eastAsia="仿宋_GB2312" w:hAnsi="Times New Roman" w:cs="Times New Roman" w:hint="eastAsia"/>
          <w:sz w:val="32"/>
          <w:szCs w:val="32"/>
        </w:rPr>
        <w:t>个月</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兑回外汇，携出境外。</w:t>
      </w:r>
    </w:p>
    <w:p w14:paraId="00A8C64A" w14:textId="77777777" w:rsidR="00210C18" w:rsidRDefault="00BE1D1F">
      <w:pPr>
        <w:pStyle w:val="2"/>
        <w:rPr>
          <w:rFonts w:ascii="方正黑体_GBK"/>
        </w:rPr>
      </w:pPr>
      <w:r>
        <w:rPr>
          <w:rFonts w:ascii="方正黑体_GBK" w:hAnsi="Times New Roman" w:cs="Times New Roman" w:hint="eastAsia"/>
        </w:rPr>
        <w:t>第三章　资本项目下的结汇、售汇与付汇</w:t>
      </w:r>
    </w:p>
    <w:p w14:paraId="65CBADF1" w14:textId="02BE7B48"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仿宋_GB2312" w:eastAsia="仿宋_GB2312" w:hAnsi="Times New Roman" w:cs="Times New Roman" w:hint="eastAsia"/>
          <w:sz w:val="32"/>
          <w:szCs w:val="32"/>
        </w:rPr>
        <w:t>境内机构资本项目下的外汇应当在经营外汇业务的银行开立外汇</w:t>
      </w:r>
      <w:r w:rsidR="00CD7B86">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w:t>
      </w:r>
    </w:p>
    <w:p w14:paraId="51DCF092"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仿宋_GB2312" w:eastAsia="仿宋_GB2312" w:hAnsi="Times New Roman" w:cs="Times New Roman" w:hint="eastAsia"/>
          <w:sz w:val="32"/>
          <w:szCs w:val="32"/>
        </w:rPr>
        <w:t>境内机构下列范围内的外汇，未经外汇局</w:t>
      </w:r>
      <w:r>
        <w:rPr>
          <w:rFonts w:ascii="仿宋_GB2312" w:eastAsia="仿宋_GB2312" w:hAnsi="Times New Roman" w:cs="Times New Roman" w:hint="eastAsia"/>
          <w:sz w:val="32"/>
          <w:szCs w:val="32"/>
        </w:rPr>
        <w:lastRenderedPageBreak/>
        <w:t>批准，不得结汇：</w:t>
      </w:r>
    </w:p>
    <w:p w14:paraId="2405DF7E"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境外法人或自然人作为投资汇入的外汇；</w:t>
      </w:r>
    </w:p>
    <w:p w14:paraId="105B9F12"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境外借款及发行外币债券、股票取得的外汇；</w:t>
      </w:r>
    </w:p>
    <w:p w14:paraId="25F23528"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经国家外汇管理局批准的其他资本项目下外汇收入。</w:t>
      </w:r>
    </w:p>
    <w:p w14:paraId="57EDFB2C"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除出口押汇外的国内外汇贷款和中资企业借入的</w:t>
      </w:r>
      <w:r>
        <w:rPr>
          <w:rFonts w:ascii="仿宋_GB2312" w:eastAsia="仿宋_GB2312" w:hAnsi="Times New Roman" w:cs="Times New Roman" w:hint="eastAsia"/>
          <w:sz w:val="32"/>
          <w:szCs w:val="32"/>
        </w:rPr>
        <w:t>国际商业贷款不得结汇。</w:t>
      </w:r>
    </w:p>
    <w:p w14:paraId="5FC9B74D"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仿宋_GB2312" w:eastAsia="仿宋_GB2312" w:hAnsi="Times New Roman" w:cs="Times New Roman" w:hint="eastAsia"/>
          <w:sz w:val="32"/>
          <w:szCs w:val="32"/>
        </w:rPr>
        <w:t>境内机构向境外出售房地产及其他资产收入的外汇，除本规定第十条限定的数额外应当卖给外汇指定银行。</w:t>
      </w:r>
    </w:p>
    <w:p w14:paraId="5889E986" w14:textId="58386E28"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仿宋_GB2312" w:eastAsia="仿宋_GB2312" w:hAnsi="Times New Roman" w:cs="Times New Roman" w:hint="eastAsia"/>
          <w:sz w:val="32"/>
          <w:szCs w:val="32"/>
        </w:rPr>
        <w:t>境内机构偿还境内中资金融机构外汇贷款本金，持《外汇</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转</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贷款登记证》、借贷合同及债权机构的还本通知单，从其外汇</w:t>
      </w:r>
      <w:r w:rsidR="00274872">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户中支付或者到外汇指定银行兑付。</w:t>
      </w:r>
    </w:p>
    <w:p w14:paraId="3DD0B0BE" w14:textId="0C69D761"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仿宋_GB2312" w:eastAsia="仿宋_GB2312" w:hAnsi="Times New Roman" w:cs="Times New Roman" w:hint="eastAsia"/>
          <w:sz w:val="32"/>
          <w:szCs w:val="32"/>
        </w:rPr>
        <w:t>境内机构资本项目下的下列用汇，持所列有效凭证向外汇局申请，凭外汇局的核准件从其外汇</w:t>
      </w:r>
      <w:r w:rsidR="00DE184B">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户中支付或者到外汇指定银行兑付：</w:t>
      </w:r>
    </w:p>
    <w:p w14:paraId="0A19348E"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偿还外债本金，持《外债登记证》、借贷合同及债权机构还本通知单；</w:t>
      </w:r>
    </w:p>
    <w:p w14:paraId="0401E2AA"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对外担保履约用汇，</w:t>
      </w:r>
      <w:r>
        <w:rPr>
          <w:rFonts w:ascii="仿宋_GB2312" w:eastAsia="仿宋_GB2312" w:hAnsi="Times New Roman" w:cs="Times New Roman" w:hint="eastAsia"/>
          <w:sz w:val="32"/>
          <w:szCs w:val="32"/>
        </w:rPr>
        <w:t>持担保合同、外汇局核发的《外汇担保登记证》及境外机构支付通知；</w:t>
      </w:r>
    </w:p>
    <w:p w14:paraId="57613447"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境外投资资金的汇出，持国家主管部门的批准文件</w:t>
      </w:r>
      <w:r>
        <w:rPr>
          <w:rFonts w:ascii="仿宋_GB2312" w:eastAsia="仿宋_GB2312" w:hAnsi="Times New Roman" w:cs="Times New Roman" w:hint="eastAsia"/>
          <w:sz w:val="32"/>
          <w:szCs w:val="32"/>
        </w:rPr>
        <w:lastRenderedPageBreak/>
        <w:t>和投资合同；</w:t>
      </w:r>
    </w:p>
    <w:p w14:paraId="471F5B30"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外商投资企业的中方投资者经批准需以外汇投入的注册资金，持国家主管部门的批准文件和合同。</w:t>
      </w:r>
    </w:p>
    <w:p w14:paraId="18FA20A6" w14:textId="40597834"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仿宋_GB2312" w:eastAsia="仿宋_GB2312" w:hAnsi="Times New Roman" w:cs="Times New Roman" w:hint="eastAsia"/>
          <w:sz w:val="32"/>
          <w:szCs w:val="32"/>
        </w:rPr>
        <w:t>外商投资企业的外汇资本金的增加、转让或者以其他方式处置，持董事会决议，经外汇局核准后，从其外汇</w:t>
      </w:r>
      <w:r w:rsidR="000E08DA">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户中支付或者持外汇局核发的售汇通知单到外汇指定银行兑付。</w:t>
      </w:r>
    </w:p>
    <w:p w14:paraId="4EC33C79"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投资性外商投资企业外汇资本金在境内投资及外方所得利润在境内增资或者再投资，持外汇局核准件办理。</w:t>
      </w:r>
    </w:p>
    <w:p w14:paraId="32F3C254" w14:textId="77777777" w:rsidR="00210C18" w:rsidRDefault="00BE1D1F">
      <w:pPr>
        <w:pStyle w:val="2"/>
        <w:rPr>
          <w:rFonts w:ascii="方正黑体_GBK"/>
        </w:rPr>
      </w:pPr>
      <w:r>
        <w:rPr>
          <w:rFonts w:ascii="方正黑体_GBK" w:hAnsi="Times New Roman" w:cs="Times New Roman" w:hint="eastAsia"/>
        </w:rPr>
        <w:t>第四章　结汇、售汇及付汇的监管</w:t>
      </w:r>
    </w:p>
    <w:p w14:paraId="4C72D839"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仿宋_GB2312" w:eastAsia="仿宋_GB2312" w:hAnsi="Times New Roman" w:cs="Times New Roman" w:hint="eastAsia"/>
          <w:sz w:val="32"/>
          <w:szCs w:val="32"/>
        </w:rPr>
        <w:t>外商投资企业可以在外汇指定银行办理结汇和售汇，也可以在外汇调剂中心买卖外汇，其他境内机构、居民个人、驻华机构及来华人员只能在外汇指定银行办理结汇和售汇。</w:t>
      </w:r>
    </w:p>
    <w:p w14:paraId="6CDDD606" w14:textId="39FB1D53"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仿宋_GB2312" w:eastAsia="仿宋_GB2312" w:hAnsi="Times New Roman" w:cs="Times New Roman" w:hint="eastAsia"/>
          <w:sz w:val="32"/>
          <w:szCs w:val="32"/>
        </w:rPr>
        <w:t>从外汇</w:t>
      </w:r>
      <w:r w:rsidR="00FA6A59">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户中对外支付时，经营外汇业务的银行应当根据规定的外汇</w:t>
      </w:r>
      <w:r w:rsidR="00FA6A59">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户收支范围及本规定第二、三章相应的规定进行审核，办理支付。</w:t>
      </w:r>
    </w:p>
    <w:p w14:paraId="1568A3C9"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仿宋_GB2312" w:eastAsia="仿宋_GB2312" w:hAnsi="Times New Roman" w:cs="Times New Roman" w:hint="eastAsia"/>
          <w:sz w:val="32"/>
          <w:szCs w:val="32"/>
        </w:rPr>
        <w:t>外汇指定银行办理售汇和付汇后，应当在相应的有效凭证和有效商业单据上签章后</w:t>
      </w:r>
      <w:r>
        <w:rPr>
          <w:rFonts w:ascii="仿宋_GB2312" w:eastAsia="仿宋_GB2312" w:hAnsi="Times New Roman" w:cs="Times New Roman" w:hint="eastAsia"/>
          <w:sz w:val="32"/>
          <w:szCs w:val="32"/>
        </w:rPr>
        <w:t>留存备查。</w:t>
      </w:r>
    </w:p>
    <w:p w14:paraId="6A601661"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仿宋_GB2312" w:eastAsia="仿宋_GB2312" w:hAnsi="Times New Roman" w:cs="Times New Roman" w:hint="eastAsia"/>
          <w:sz w:val="32"/>
          <w:szCs w:val="32"/>
        </w:rPr>
        <w:t>外汇指定银行应当根据中国人民银行每日公布的人民币汇率中间价和规定的买卖差价幅度，确定对</w:t>
      </w:r>
      <w:r>
        <w:rPr>
          <w:rFonts w:ascii="仿宋_GB2312" w:eastAsia="仿宋_GB2312" w:hAnsi="Times New Roman" w:cs="Times New Roman" w:hint="eastAsia"/>
          <w:sz w:val="32"/>
          <w:szCs w:val="32"/>
        </w:rPr>
        <w:lastRenderedPageBreak/>
        <w:t>客户的外汇买卖价格，办理结汇和售汇业务。</w:t>
      </w:r>
    </w:p>
    <w:p w14:paraId="03478892" w14:textId="363B3C6A"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仿宋_GB2312" w:eastAsia="仿宋_GB2312" w:hAnsi="Times New Roman" w:cs="Times New Roman" w:hint="eastAsia"/>
          <w:sz w:val="32"/>
          <w:szCs w:val="32"/>
        </w:rPr>
        <w:t>从外汇</w:t>
      </w:r>
      <w:r w:rsidR="0036098B">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户中支付或者购汇支付，应当在有关结算方式或者合同规定的日期办理，不得提前对外付款；除用于还本付息的外汇和信用证</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保函保证金外，不得提前购汇。</w:t>
      </w:r>
    </w:p>
    <w:p w14:paraId="6A4EE9C8"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仿宋_GB2312" w:eastAsia="仿宋_GB2312" w:hAnsi="Times New Roman" w:cs="Times New Roman" w:hint="eastAsia"/>
          <w:sz w:val="32"/>
          <w:szCs w:val="32"/>
        </w:rPr>
        <w:t>为使有远期支付合同或者偿债协议的用汇单位避免汇率风险，外汇指定银行可以按照有关规定为其办理人民币与外币的远期买卖及其他保值业务。</w:t>
      </w:r>
    </w:p>
    <w:p w14:paraId="706B85F5" w14:textId="0C94E234"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仿宋_GB2312" w:eastAsia="仿宋_GB2312" w:hAnsi="Times New Roman" w:cs="Times New Roman" w:hint="eastAsia"/>
          <w:sz w:val="32"/>
          <w:szCs w:val="32"/>
        </w:rPr>
        <w:t>易货贸易项下进口，未经外汇局批准，不得购汇或者从外汇</w:t>
      </w:r>
      <w:r w:rsidR="00AC22C5">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户支付。</w:t>
      </w:r>
    </w:p>
    <w:p w14:paraId="67FEF2D9"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仿宋_GB2312" w:eastAsia="仿宋_GB2312" w:hAnsi="Times New Roman" w:cs="Times New Roman" w:hint="eastAsia"/>
          <w:sz w:val="32"/>
          <w:szCs w:val="32"/>
        </w:rPr>
        <w:t>经营外汇业务的银行应当按照规定向外汇局报送结汇、售汇及付汇情况报表。</w:t>
      </w:r>
    </w:p>
    <w:p w14:paraId="3AB76FEF" w14:textId="77777777"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外汇指定银行应当建立结售汇内部监管制度，遇有结售汇异常情况，应当及时向国家外汇管理局当地分支局报告。</w:t>
      </w:r>
    </w:p>
    <w:p w14:paraId="2A4DFC64" w14:textId="0A977E73"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仿宋_GB2312" w:eastAsia="仿宋_GB2312" w:hAnsi="Times New Roman" w:cs="Times New Roman" w:hint="eastAsia"/>
          <w:sz w:val="32"/>
          <w:szCs w:val="32"/>
        </w:rPr>
        <w:t>境内机构应当在其注册地选择经营外汇业务的银行开立外汇</w:t>
      </w:r>
      <w:r w:rsidR="00EB753A">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户、按照本规定办理结汇、购汇、付汇业务。境内机构在异地和境</w:t>
      </w:r>
      <w:r>
        <w:rPr>
          <w:rFonts w:ascii="仿宋_GB2312" w:eastAsia="仿宋_GB2312" w:hAnsi="Times New Roman" w:cs="Times New Roman" w:hint="eastAsia"/>
          <w:sz w:val="32"/>
          <w:szCs w:val="32"/>
        </w:rPr>
        <w:t>外开立外汇</w:t>
      </w:r>
      <w:r w:rsidR="00EB753A">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户，应当向外汇局申请。</w:t>
      </w:r>
    </w:p>
    <w:p w14:paraId="0CD856A2" w14:textId="1292890B" w:rsidR="00210C18" w:rsidRDefault="00BE1D1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外商投资企业经常项下的外汇收入，经批准可以在注册地选择经营外汇业务的银行开立外汇结算</w:t>
      </w:r>
      <w:r w:rsidR="00EB753A">
        <w:rPr>
          <w:rFonts w:ascii="仿宋_GB2312" w:eastAsia="仿宋_GB2312" w:hAnsi="Times New Roman" w:cs="Times New Roman" w:hint="eastAsia"/>
          <w:sz w:val="32"/>
          <w:szCs w:val="32"/>
        </w:rPr>
        <w:t>帐</w:t>
      </w:r>
      <w:r>
        <w:rPr>
          <w:rFonts w:ascii="仿宋_GB2312" w:eastAsia="仿宋_GB2312" w:hAnsi="Times New Roman" w:cs="Times New Roman" w:hint="eastAsia"/>
          <w:sz w:val="32"/>
          <w:szCs w:val="32"/>
        </w:rPr>
        <w:t>户。</w:t>
      </w:r>
    </w:p>
    <w:p w14:paraId="62803135"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仿宋_GB2312" w:eastAsia="仿宋_GB2312" w:hAnsi="Times New Roman" w:cs="Times New Roman" w:hint="eastAsia"/>
          <w:sz w:val="32"/>
          <w:szCs w:val="32"/>
        </w:rPr>
        <w:t>经营外汇业务的银行和有结汇、购汇、付汇业务的境内机构，应当无条件接受外汇局的监督、检查，</w:t>
      </w:r>
      <w:r>
        <w:rPr>
          <w:rFonts w:ascii="仿宋_GB2312" w:eastAsia="仿宋_GB2312" w:hAnsi="Times New Roman" w:cs="Times New Roman" w:hint="eastAsia"/>
          <w:sz w:val="32"/>
          <w:szCs w:val="32"/>
        </w:rPr>
        <w:lastRenderedPageBreak/>
        <w:t>并出示、提供有关材料。对违反本规定的，外汇局可对其处以警告、没收违法所得、罚款的处罚；对违反本规定，情节严重的经营外汇业务的银行，外汇局可对其处以暂停结售汇业务的处罚。</w:t>
      </w:r>
    </w:p>
    <w:p w14:paraId="6AECAC79" w14:textId="77777777" w:rsidR="00210C18" w:rsidRDefault="00BE1D1F">
      <w:pPr>
        <w:pStyle w:val="2"/>
        <w:rPr>
          <w:rFonts w:ascii="方正黑体_GBK"/>
        </w:rPr>
      </w:pPr>
      <w:r>
        <w:rPr>
          <w:rFonts w:ascii="方正黑体_GBK" w:hAnsi="Times New Roman" w:cs="Times New Roman" w:hint="eastAsia"/>
        </w:rPr>
        <w:t>第五章　附则</w:t>
      </w:r>
    </w:p>
    <w:p w14:paraId="14A17F38" w14:textId="77777777" w:rsidR="00210C18" w:rsidRDefault="00BE1D1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仿宋_GB2312" w:eastAsia="仿宋_GB2312" w:hAnsi="Times New Roman" w:cs="Times New Roman" w:hint="eastAsia"/>
          <w:sz w:val="32"/>
          <w:szCs w:val="32"/>
        </w:rPr>
        <w:t>本规定由国家外汇管理局负责解释。</w:t>
      </w:r>
    </w:p>
    <w:p w14:paraId="129A3222" w14:textId="77777777" w:rsidR="00210C18" w:rsidRDefault="00BE1D1F">
      <w:pPr>
        <w:ind w:firstLineChars="200" w:firstLine="640"/>
        <w:rPr>
          <w:rFonts w:ascii="仿宋_GB2312" w:eastAsia="仿宋_GB2312"/>
        </w:rPr>
      </w:pPr>
      <w:r>
        <w:rPr>
          <w:rFonts w:ascii="Times New Roman" w:eastAsia="黑体" w:hAnsi="Times New Roman" w:cs="Times New Roman"/>
          <w:sz w:val="32"/>
          <w:szCs w:val="32"/>
        </w:rPr>
        <w:t xml:space="preserve">第四十三条　</w:t>
      </w:r>
      <w:r>
        <w:rPr>
          <w:rFonts w:ascii="仿宋_GB2312" w:eastAsia="仿宋_GB2312" w:hAnsi="Times New Roman" w:cs="Times New Roman" w:hint="eastAsia"/>
          <w:sz w:val="32"/>
          <w:szCs w:val="32"/>
        </w:rPr>
        <w:t>本规定自</w:t>
      </w:r>
      <w:r>
        <w:rPr>
          <w:rFonts w:ascii="仿宋_GB2312" w:eastAsia="仿宋_GB2312" w:hAnsi="Times New Roman" w:cs="Times New Roman" w:hint="eastAsia"/>
          <w:sz w:val="32"/>
          <w:szCs w:val="32"/>
        </w:rPr>
        <w:t>1996</w:t>
      </w:r>
      <w:r>
        <w:rPr>
          <w:rFonts w:ascii="仿宋_GB2312" w:eastAsia="仿宋_GB2312" w:hAnsi="Times New Roman" w:cs="Times New Roman" w:hint="eastAsia"/>
          <w:sz w:val="32"/>
          <w:szCs w:val="32"/>
        </w:rPr>
        <w:t>年</w:t>
      </w:r>
      <w:r>
        <w:rPr>
          <w:rFonts w:ascii="仿宋_GB2312" w:eastAsia="仿宋_GB2312" w:hAnsi="Times New Roman" w:cs="Times New Roman" w:hint="eastAsia"/>
          <w:sz w:val="32"/>
          <w:szCs w:val="32"/>
        </w:rPr>
        <w:t>7</w:t>
      </w:r>
      <w:r>
        <w:rPr>
          <w:rFonts w:ascii="仿宋_GB2312" w:eastAsia="仿宋_GB2312" w:hAnsi="Times New Roman" w:cs="Times New Roman" w:hint="eastAsia"/>
          <w:sz w:val="32"/>
          <w:szCs w:val="32"/>
        </w:rPr>
        <w:t>月</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日起施行。</w:t>
      </w:r>
      <w:r>
        <w:rPr>
          <w:rFonts w:ascii="仿宋_GB2312" w:eastAsia="仿宋_GB2312" w:hAnsi="Times New Roman" w:cs="Times New Roman" w:hint="eastAsia"/>
          <w:sz w:val="32"/>
          <w:szCs w:val="32"/>
        </w:rPr>
        <w:t>1994</w:t>
      </w:r>
      <w:r>
        <w:rPr>
          <w:rFonts w:ascii="仿宋_GB2312" w:eastAsia="仿宋_GB2312" w:hAnsi="Times New Roman" w:cs="Times New Roman" w:hint="eastAsia"/>
          <w:sz w:val="32"/>
          <w:szCs w:val="32"/>
        </w:rPr>
        <w:t>年</w:t>
      </w:r>
      <w:r>
        <w:rPr>
          <w:rFonts w:ascii="仿宋_GB2312" w:eastAsia="仿宋_GB2312" w:hAnsi="Times New Roman" w:cs="Times New Roman" w:hint="eastAsia"/>
          <w:sz w:val="32"/>
          <w:szCs w:val="32"/>
        </w:rPr>
        <w:t>3</w:t>
      </w:r>
      <w:r>
        <w:rPr>
          <w:rFonts w:ascii="仿宋_GB2312" w:eastAsia="仿宋_GB2312" w:hAnsi="Times New Roman" w:cs="Times New Roman" w:hint="eastAsia"/>
          <w:sz w:val="32"/>
          <w:szCs w:val="32"/>
        </w:rPr>
        <w:t>月</w:t>
      </w:r>
      <w:r>
        <w:rPr>
          <w:rFonts w:ascii="仿宋_GB2312" w:eastAsia="仿宋_GB2312" w:hAnsi="Times New Roman" w:cs="Times New Roman" w:hint="eastAsia"/>
          <w:sz w:val="32"/>
          <w:szCs w:val="32"/>
        </w:rPr>
        <w:t>26</w:t>
      </w:r>
      <w:r>
        <w:rPr>
          <w:rFonts w:ascii="仿宋_GB2312" w:eastAsia="仿宋_GB2312" w:hAnsi="Times New Roman" w:cs="Times New Roman" w:hint="eastAsia"/>
          <w:sz w:val="32"/>
          <w:szCs w:val="32"/>
        </w:rPr>
        <w:t>日发布的《结汇、售汇及付汇管理暂行规定》同时废止。其他规定与本规定相抵触的，以本规定为准。</w:t>
      </w:r>
    </w:p>
    <w:sectPr w:rsidR="00210C18">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C94036B" w14:textId="77777777" w:rsidR="00BE1D1F" w:rsidRDefault="00BE1D1F">
      <w:r>
        <w:separator/>
      </w:r>
    </w:p>
  </w:endnote>
  <w:endnote w:type="continuationSeparator" w:id="0">
    <w:p w14:paraId="3EA8AEEE" w14:textId="77777777" w:rsidR="00BE1D1F" w:rsidRDefault="00BE1D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黑体_GBK">
    <w:altName w:val="微软雅黑"/>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471611" w14:textId="77777777" w:rsidR="00210C18" w:rsidRDefault="00BE1D1F">
    <w:pPr>
      <w:pStyle w:val="a4"/>
    </w:pPr>
    <w:r>
      <w:pict w14:anchorId="434A5603">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5D27BF2" w14:textId="77777777" w:rsidR="00210C18" w:rsidRDefault="00BE1D1F">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DFCC30" w14:textId="77777777" w:rsidR="00BE1D1F" w:rsidRDefault="00BE1D1F">
      <w:r>
        <w:separator/>
      </w:r>
    </w:p>
  </w:footnote>
  <w:footnote w:type="continuationSeparator" w:id="0">
    <w:p w14:paraId="3681F05B" w14:textId="77777777" w:rsidR="00BE1D1F" w:rsidRDefault="00BE1D1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1C6F0557"/>
    <w:rsid w:val="00022232"/>
    <w:rsid w:val="000E08DA"/>
    <w:rsid w:val="000F2AE0"/>
    <w:rsid w:val="00210C18"/>
    <w:rsid w:val="00274872"/>
    <w:rsid w:val="002E7279"/>
    <w:rsid w:val="0036098B"/>
    <w:rsid w:val="003F3D5C"/>
    <w:rsid w:val="004E06C7"/>
    <w:rsid w:val="00595743"/>
    <w:rsid w:val="005D565E"/>
    <w:rsid w:val="00661F2F"/>
    <w:rsid w:val="00683FCB"/>
    <w:rsid w:val="00727385"/>
    <w:rsid w:val="00752EB3"/>
    <w:rsid w:val="008954AA"/>
    <w:rsid w:val="00906858"/>
    <w:rsid w:val="00907105"/>
    <w:rsid w:val="00A61571"/>
    <w:rsid w:val="00AA4126"/>
    <w:rsid w:val="00AC22C5"/>
    <w:rsid w:val="00BE1D1F"/>
    <w:rsid w:val="00CC044A"/>
    <w:rsid w:val="00CD7B86"/>
    <w:rsid w:val="00D01F01"/>
    <w:rsid w:val="00DE184B"/>
    <w:rsid w:val="00EA3BB7"/>
    <w:rsid w:val="00EB753A"/>
    <w:rsid w:val="00F246C6"/>
    <w:rsid w:val="00FA6A59"/>
    <w:rsid w:val="02CF68CD"/>
    <w:rsid w:val="06CA2F04"/>
    <w:rsid w:val="161920FD"/>
    <w:rsid w:val="1AFC0548"/>
    <w:rsid w:val="1C6F0557"/>
    <w:rsid w:val="20696116"/>
    <w:rsid w:val="2BD00CAC"/>
    <w:rsid w:val="2D4413FB"/>
    <w:rsid w:val="31472C78"/>
    <w:rsid w:val="34A26E08"/>
    <w:rsid w:val="37DE4CBC"/>
    <w:rsid w:val="51D82B9F"/>
    <w:rsid w:val="6C5E570F"/>
    <w:rsid w:val="7616039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E353B35"/>
  <w15:docId w15:val="{2F0D4935-678E-4FB7-92EB-8C1868538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paragraph" w:styleId="2">
    <w:name w:val="heading 2"/>
    <w:basedOn w:val="a"/>
    <w:next w:val="a"/>
    <w:uiPriority w:val="9"/>
    <w:unhideWhenUsed/>
    <w:qFormat/>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837</Words>
  <Characters>4776</Characters>
  <Application>Microsoft Office Word</Application>
  <DocSecurity>0</DocSecurity>
  <Lines>39</Lines>
  <Paragraphs>11</Paragraphs>
  <ScaleCrop>false</ScaleCrop>
  <Company>Microsoft</Company>
  <LinksUpToDate>false</LinksUpToDate>
  <CharactersWithSpaces>5602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25</cp:revision>
  <dcterms:created xsi:type="dcterms:W3CDTF">2019-05-22T14:16:00Z</dcterms:created>
  <dcterms:modified xsi:type="dcterms:W3CDTF">2020-11-20T08:27:00Z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