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4FFD" w:rsidRDefault="00C64FFD">
      <w:pPr>
        <w:pStyle w:val="a3"/>
        <w:jc w:val="center"/>
        <w:rPr>
          <w:rFonts w:hAnsi="宋体" w:cs="宋体"/>
          <w:sz w:val="44"/>
          <w:szCs w:val="44"/>
        </w:rPr>
      </w:pPr>
    </w:p>
    <w:p w:rsidR="00C64FFD" w:rsidRDefault="00503FCF">
      <w:pPr>
        <w:pStyle w:val="a3"/>
        <w:jc w:val="center"/>
        <w:rPr>
          <w:rFonts w:hAnsi="宋体" w:cs="宋体"/>
          <w:sz w:val="44"/>
          <w:szCs w:val="44"/>
        </w:rPr>
      </w:pPr>
      <w:r>
        <w:rPr>
          <w:rFonts w:hAnsi="宋体" w:cs="宋体" w:hint="eastAsia"/>
          <w:sz w:val="44"/>
          <w:szCs w:val="44"/>
        </w:rPr>
        <w:t>政府投资条例</w:t>
      </w:r>
    </w:p>
    <w:p w:rsidR="00C64FFD" w:rsidRDefault="00C64FFD">
      <w:pPr>
        <w:pStyle w:val="a3"/>
        <w:jc w:val="center"/>
        <w:rPr>
          <w:rFonts w:hAnsi="宋体" w:cs="宋体"/>
          <w:sz w:val="44"/>
          <w:szCs w:val="44"/>
        </w:rPr>
      </w:pPr>
    </w:p>
    <w:p w:rsidR="00C64FFD" w:rsidRDefault="00503FCF">
      <w:pPr>
        <w:pStyle w:val="a3"/>
        <w:ind w:firstLineChars="200" w:firstLine="640"/>
        <w:rPr>
          <w:rFonts w:ascii="Times New Roman" w:eastAsia="MingLiU_HKSCS" w:hAnsi="Times New Roman" w:cs="Times New Roman"/>
        </w:rPr>
      </w:pPr>
      <w:r>
        <w:rPr>
          <w:rFonts w:ascii="Times New Roman" w:eastAsia="方正楷体_GBK" w:hAnsi="Times New Roman" w:cs="Times New Roman"/>
          <w:sz w:val="32"/>
        </w:rPr>
        <w:t>(</w:t>
      </w:r>
      <w:r w:rsidRPr="004D1491">
        <w:rPr>
          <w:rFonts w:ascii="楷体_GB2312" w:eastAsia="楷体_GB2312" w:hAnsi="Times New Roman" w:cs="Times New Roman" w:hint="eastAsia"/>
          <w:sz w:val="32"/>
        </w:rPr>
        <w:t>2018年12月5日国务院第33次常务会议通过　2019年4月14日中华人民共和国国务院令第712号公布　自2019年7月1日起施行</w:t>
      </w:r>
      <w:r>
        <w:rPr>
          <w:rFonts w:ascii="Times New Roman" w:eastAsia="方正楷体_GBK" w:hAnsi="Times New Roman" w:cs="Times New Roman"/>
          <w:sz w:val="32"/>
        </w:rPr>
        <w:t>)</w:t>
      </w:r>
    </w:p>
    <w:p w:rsidR="00C64FFD" w:rsidRDefault="00503FCF">
      <w:pPr>
        <w:pStyle w:val="2"/>
        <w:jc w:val="center"/>
      </w:pPr>
      <w:r>
        <w:rPr>
          <w:rFonts w:ascii="黑体" w:eastAsia="黑体" w:hAnsi="黑体" w:cs="Times New Roman"/>
          <w:b w:val="0"/>
        </w:rPr>
        <w:t>第一章</w:t>
      </w:r>
      <w:r>
        <w:rPr>
          <w:rFonts w:ascii="Times New Roman" w:hAnsi="Times New Roman" w:cs="Times New Roman"/>
        </w:rPr>
        <w:t xml:space="preserve">　</w:t>
      </w:r>
      <w:r>
        <w:rPr>
          <w:rFonts w:ascii="黑体" w:eastAsia="黑体" w:hAnsi="黑体" w:cs="Times New Roman" w:hint="eastAsia"/>
          <w:b w:val="0"/>
        </w:rPr>
        <w:t>总则</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为了充分发挥政府投资作用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提高政府投资效益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规范政府投资行为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激发社会投资活力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本条例所称政府投资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是指在中国境内使用预算安排的资金进行固定资产投资建设活动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包括新建</w:t>
      </w:r>
      <w:r>
        <w:rPr>
          <w:rFonts w:ascii="仿宋_GB2312" w:eastAsia="仿宋_GB2312" w:hAnsi="Times New Roman" w:cs="Times New Roman" w:hint="eastAsia"/>
          <w:sz w:val="32"/>
          <w:szCs w:val="32"/>
        </w:rPr>
        <w:t>、扩建、改建、技术改造等。</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政府投资资金应当投向市场不能有效配置资源的社会公益服务、公共基础设施、农业农村、生态环境保护、重大科技进步、社会管理、国家安全等公共领域的项目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以非经营性项目为主</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国家完善有关政策措施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发挥政府投资资金的引导和带动作用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鼓励社会资金投向</w:t>
      </w:r>
      <w:r>
        <w:rPr>
          <w:rFonts w:ascii="仿宋_GB2312" w:eastAsia="仿宋_GB2312" w:hAnsi="Times New Roman" w:cs="Times New Roman" w:hint="eastAsia"/>
          <w:sz w:val="32"/>
          <w:szCs w:val="32"/>
        </w:rPr>
        <w:t>前款规定的领域。</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国家建立政府投资范围定期评估调整机制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不断优化政府投资方向和结构</w:t>
      </w:r>
      <w:r>
        <w:rPr>
          <w:rFonts w:ascii="仿宋_GB2312" w:eastAsia="仿宋_GB2312" w:hAnsi="Times New Roman" w:cs="Times New Roman" w:hint="eastAsia"/>
          <w:sz w:val="32"/>
          <w:szCs w:val="32"/>
        </w:rPr>
        <w:t>。</w:t>
      </w:r>
      <w:bookmarkStart w:id="0" w:name="_GoBack"/>
      <w:bookmarkEnd w:id="0"/>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政府投资应当遵循科学决策、规范管理、注重</w:t>
      </w:r>
      <w:r>
        <w:rPr>
          <w:rFonts w:ascii="仿宋_GB2312" w:eastAsia="仿宋_GB2312" w:hAnsi="Times New Roman" w:cs="Times New Roman" w:hint="eastAsia"/>
          <w:sz w:val="32"/>
          <w:szCs w:val="32"/>
        </w:rPr>
        <w:lastRenderedPageBreak/>
        <w:t>绩效、公开透明的原则。</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政府投资应当与经济社会发展水平和财政收支状况相适应。</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国家加强对政府投资资金的预算约束。政府及其有关部门不得违法违规举借债务筹措政府投资资金。</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政府投资资金按项目安排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以直接投资方式为主</w:t>
      </w:r>
      <w:r>
        <w:rPr>
          <w:rFonts w:ascii="仿宋_GB2312" w:eastAsia="仿宋_GB2312" w:hAnsi="Times New Roman" w:cs="Times New Roman" w:hint="eastAsia"/>
          <w:sz w:val="32"/>
          <w:szCs w:val="32"/>
        </w:rPr>
        <w:t>；对确需支持的经营性项目</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主要采取资本金注入方式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也可以适当采取投资补助</w:t>
      </w:r>
      <w:r>
        <w:rPr>
          <w:rFonts w:ascii="仿宋_GB2312" w:eastAsia="仿宋_GB2312" w:hAnsi="Times New Roman" w:cs="Times New Roman" w:hint="eastAsia"/>
          <w:sz w:val="32"/>
          <w:szCs w:val="32"/>
        </w:rPr>
        <w:t>、贷款贴息等方式。</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安排政府投资资金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应当符合推进中央与地方财政事权和支出责任划分改革的有关要求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并平等对待各类投资主体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不得设置歧视性条件</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国家通过建立项目库等方式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加强对使用政府投资资金</w:t>
      </w:r>
      <w:r>
        <w:rPr>
          <w:rFonts w:ascii="仿宋_GB2312" w:eastAsia="仿宋_GB2312" w:hAnsi="Times New Roman" w:cs="Times New Roman" w:hint="eastAsia"/>
          <w:sz w:val="32"/>
          <w:szCs w:val="32"/>
        </w:rPr>
        <w:t>项目的储备。</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国务院投资主管部门依照本条例和国务院的规定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履行政府投资综合管理职责</w:t>
      </w:r>
      <w:r>
        <w:rPr>
          <w:rFonts w:ascii="仿宋_GB2312" w:eastAsia="仿宋_GB2312" w:hAnsi="Times New Roman" w:cs="Times New Roman" w:hint="eastAsia"/>
          <w:sz w:val="32"/>
          <w:szCs w:val="32"/>
        </w:rPr>
        <w:t>。国务院其他有关部门依照本条例和国务院规定的职责分工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履行相应的政府投资管理职责</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县级以上地方人民政府投资主管部门和其他有关部门依照本条例和本级人民政府规定的职责分工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履行相应的政府投资管理职责</w:t>
      </w:r>
      <w:r>
        <w:rPr>
          <w:rFonts w:ascii="仿宋_GB2312" w:eastAsia="仿宋_GB2312" w:hAnsi="Times New Roman" w:cs="Times New Roman" w:hint="eastAsia"/>
          <w:sz w:val="32"/>
          <w:szCs w:val="32"/>
        </w:rPr>
        <w:t>。</w:t>
      </w:r>
    </w:p>
    <w:p w:rsidR="00C64FFD" w:rsidRDefault="00503FCF">
      <w:pPr>
        <w:pStyle w:val="2"/>
        <w:jc w:val="center"/>
        <w:rPr>
          <w:rFonts w:ascii="黑体" w:eastAsia="黑体" w:hAnsi="黑体"/>
          <w:b w:val="0"/>
        </w:rPr>
      </w:pPr>
      <w:r>
        <w:rPr>
          <w:rFonts w:ascii="黑体" w:eastAsia="黑体" w:hAnsi="黑体" w:cs="Times New Roman"/>
          <w:b w:val="0"/>
        </w:rPr>
        <w:lastRenderedPageBreak/>
        <w:t>第二章　政府投</w:t>
      </w:r>
      <w:r>
        <w:rPr>
          <w:rFonts w:ascii="黑体" w:eastAsia="黑体" w:hAnsi="黑体" w:cs="Times New Roman" w:hint="eastAsia"/>
          <w:b w:val="0"/>
        </w:rPr>
        <w:t>资决策</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县级以上人民政府应当根据国民经济和社会发展规划、中期财政规划和国家宏观调控政策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结合财政收</w:t>
      </w:r>
      <w:r>
        <w:rPr>
          <w:rFonts w:ascii="仿宋_GB2312" w:eastAsia="仿宋_GB2312" w:hAnsi="Times New Roman" w:cs="Times New Roman" w:hint="eastAsia"/>
          <w:sz w:val="32"/>
          <w:szCs w:val="32"/>
        </w:rPr>
        <w:t>支状况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统筹安排使用政府投资资金的项目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规范使用各类政府投资资金</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政府采取直接投资方式、资本金注入方式投资的项目(以下统称政府投资项目)</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项目单位应当编制项目建议书、可行性研究报告、初步设计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按照政</w:t>
      </w:r>
      <w:r>
        <w:rPr>
          <w:rFonts w:ascii="仿宋_GB2312" w:eastAsia="仿宋_GB2312" w:hAnsi="Times New Roman" w:cs="Times New Roman" w:hint="eastAsia"/>
          <w:sz w:val="32"/>
          <w:szCs w:val="32"/>
        </w:rPr>
        <w:t>府投资管理权限和规定的程序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报投资主管部门或者其他有关部门审批</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项目单位应当加强政府投资项目的前期工作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保证前期工作的深度达到规定的要求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并对项目建议书</w:t>
      </w:r>
      <w:r>
        <w:rPr>
          <w:rFonts w:ascii="仿宋_GB2312" w:eastAsia="仿宋_GB2312" w:hAnsi="Times New Roman" w:cs="Times New Roman" w:hint="eastAsia"/>
          <w:sz w:val="32"/>
          <w:szCs w:val="32"/>
        </w:rPr>
        <w:t>、可行性研究报告、初步设计以及依法应当附具的其他文件的真实性负责。</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除涉及国家秘密的项目外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投资主管部门和其他有关部门应当通过投资项目在线审批监管平台</w:t>
      </w:r>
      <w:r>
        <w:rPr>
          <w:rFonts w:ascii="仿宋_GB2312" w:eastAsia="仿宋_GB2312" w:hAnsi="Times New Roman" w:cs="Times New Roman" w:hint="eastAsia"/>
          <w:sz w:val="32"/>
          <w:szCs w:val="32"/>
        </w:rPr>
        <w:t>(以下简称在线平台)</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使用在线平台生成的项目代码办理政府投资项目审批手续。</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投资主管部门和其他有关部门应当通过在线平台列明与政府投资有关的规划、产业政策等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公开政府投资项目审批的办理流程</w:t>
      </w:r>
      <w:r>
        <w:rPr>
          <w:rFonts w:ascii="仿宋_GB2312" w:eastAsia="仿宋_GB2312" w:hAnsi="Times New Roman" w:cs="Times New Roman" w:hint="eastAsia"/>
          <w:sz w:val="32"/>
          <w:szCs w:val="32"/>
        </w:rPr>
        <w:t>、办理时限等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并为项目单位提供相关咨询服务</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投资主管部门或者其他有关部门应当根据国民经济和社会发展规划、相关领域专项规划、产业政策等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从下列方面对政府投资项目进行审查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作出是否批准的决定</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(一)项目建议书提出的项目建设的必要性；</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(二)可行性研究报告分析的项目的技术经济可行性、社会效益以及项目资金等主要建设条件的落实情况；</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(三)初步设计及其提出的投资概算是否符合可行性研究报告批复以及国家有关标准和规范的要求；</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(四)依照法律、行政法规和国家有关规定应当审查的其他事项。</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投资主管部门或者其他有关部门对政府投资项目不予批准的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应当书面通知项目单位并说明理由</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对经济社会发展、社会公众利益有重大影响或者投资规模较大的政府投资项目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投资主管部门或者其他有关部门应当在中介服务机构评估</w:t>
      </w:r>
      <w:r>
        <w:rPr>
          <w:rFonts w:ascii="仿宋_GB2312" w:eastAsia="仿宋_GB2312" w:hAnsi="Times New Roman" w:cs="Times New Roman" w:hint="eastAsia"/>
          <w:sz w:val="32"/>
          <w:szCs w:val="32"/>
        </w:rPr>
        <w:t>、公众参与、专家评议、风险评估的基础上作出是否批准的决定。</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经投资主管部门或者其他有关部门核定的投资概算是控制政府投资项目总投资的依据。</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初步设计提出的投资概算超过经批准的可行性研究报告提出的投资估算10%的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项目单位应当向投资主管部门或者其他有关部门报告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投资主管部门或者其他有关部门可以要求项目单位重新报送可行性研究报告</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对下列政府投资项目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可以按照国家有关规定简化需要报批的文件和审批程序</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(一)相关规划中已经明确的项目；</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(二)部分扩建、改建项目；</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(三)建设内容单一、投资规模较小、技术方案简单的项目；</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(四)为应对自然灾害、事故灾难、公共卫生事件、社会安全事件等突发事件需要紧急建设的项目。</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前款第三项所列项目的具体范围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由国务院投资主管部门会同国务院其他有关部门规定</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采取投资补助、贷款贴息等方式安排政府投资资金的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项目单位应当按照国</w:t>
      </w:r>
      <w:r>
        <w:rPr>
          <w:rFonts w:ascii="仿宋_GB2312" w:eastAsia="仿宋_GB2312" w:hAnsi="Times New Roman" w:cs="Times New Roman" w:hint="eastAsia"/>
          <w:sz w:val="32"/>
          <w:szCs w:val="32"/>
        </w:rPr>
        <w:t>家有关规定办理手续。</w:t>
      </w:r>
    </w:p>
    <w:p w:rsidR="00C64FFD" w:rsidRDefault="00503FCF">
      <w:pPr>
        <w:pStyle w:val="2"/>
        <w:jc w:val="center"/>
        <w:rPr>
          <w:rFonts w:ascii="黑体" w:eastAsia="黑体" w:hAnsi="黑体"/>
          <w:b w:val="0"/>
        </w:rPr>
      </w:pPr>
      <w:r>
        <w:rPr>
          <w:rFonts w:ascii="黑体" w:eastAsia="黑体" w:hAnsi="黑体" w:cs="Times New Roman"/>
          <w:b w:val="0"/>
        </w:rPr>
        <w:t>第三章　政府投</w:t>
      </w:r>
      <w:r>
        <w:rPr>
          <w:rFonts w:ascii="黑体" w:eastAsia="黑体" w:hAnsi="黑体" w:cs="Times New Roman" w:hint="eastAsia"/>
          <w:b w:val="0"/>
        </w:rPr>
        <w:t>资年度计划</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国务院投资主管部门对其负责安排的政府投资编制政府投资年度计划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国务院其他有关部门对其负责安排的本行业</w:t>
      </w:r>
      <w:r>
        <w:rPr>
          <w:rFonts w:ascii="仿宋_GB2312" w:eastAsia="仿宋_GB2312" w:hAnsi="Times New Roman" w:cs="Times New Roman" w:hint="eastAsia"/>
          <w:sz w:val="32"/>
          <w:szCs w:val="32"/>
        </w:rPr>
        <w:t>、本领域的政府投资编制政府投资年度计划。</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县级以上地方人民政府有关部门按照本级人民政府的规定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编制政府投资年度计划</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政府投资年度计划应当明确项目名称、建设内容及规模、建设工期、项目总投资、年度投资额及资金来源等事项。</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列入政府投资年度计划的项目应当符合下列条件：</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(一)采取直接投资方式、资本金注入方式的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可行性研</w:t>
      </w:r>
      <w:r>
        <w:rPr>
          <w:rFonts w:ascii="仿宋_GB2312" w:eastAsia="仿宋_GB2312" w:hAnsi="仿宋_GB2312" w:cs="仿宋_GB2312" w:hint="eastAsia"/>
          <w:sz w:val="32"/>
          <w:szCs w:val="32"/>
        </w:rPr>
        <w:lastRenderedPageBreak/>
        <w:t>究报告已经批准或者投资概算已经核定</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(二)采取投资补助、贷款贴息等方式的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已经按照国家有关规定办理手续</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(三)县级以上人民政府有关部门规定的其他条件。</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政府投资年度计划应当和本级预算相衔接。</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财政部门应当根据经批准的预算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按照法律</w:t>
      </w:r>
      <w:r>
        <w:rPr>
          <w:rFonts w:ascii="仿宋_GB2312" w:eastAsia="仿宋_GB2312" w:hAnsi="Times New Roman" w:cs="Times New Roman" w:hint="eastAsia"/>
          <w:sz w:val="32"/>
          <w:szCs w:val="32"/>
        </w:rPr>
        <w:t>、行政法规和国库管理的有关规定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w:t>
      </w:r>
      <w:r>
        <w:rPr>
          <w:rFonts w:ascii="仿宋_GB2312" w:eastAsia="仿宋_GB2312" w:hAnsi="Times New Roman" w:cs="Times New Roman" w:hint="eastAsia"/>
          <w:sz w:val="32"/>
          <w:szCs w:val="32"/>
        </w:rPr>
        <w:t>、足额办理政府投资资金拨付。</w:t>
      </w:r>
    </w:p>
    <w:p w:rsidR="00C64FFD" w:rsidRDefault="00503FCF">
      <w:pPr>
        <w:pStyle w:val="2"/>
        <w:jc w:val="center"/>
        <w:rPr>
          <w:rFonts w:ascii="黑体" w:eastAsia="黑体" w:hAnsi="黑体"/>
          <w:b w:val="0"/>
        </w:rPr>
      </w:pPr>
      <w:r>
        <w:rPr>
          <w:rFonts w:ascii="黑体" w:eastAsia="黑体" w:hAnsi="黑体" w:cs="Times New Roman"/>
          <w:b w:val="0"/>
        </w:rPr>
        <w:t>第四章　政府投</w:t>
      </w:r>
      <w:r>
        <w:rPr>
          <w:rFonts w:ascii="黑体" w:eastAsia="黑体" w:hAnsi="黑体" w:cs="Times New Roman" w:hint="eastAsia"/>
          <w:b w:val="0"/>
        </w:rPr>
        <w:t>资项目实施</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政府投资项目开工建设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应当符合本条例和有关法律</w:t>
      </w:r>
      <w:r>
        <w:rPr>
          <w:rFonts w:ascii="仿宋_GB2312" w:eastAsia="仿宋_GB2312" w:hAnsi="Times New Roman" w:cs="Times New Roman" w:hint="eastAsia"/>
          <w:sz w:val="32"/>
          <w:szCs w:val="32"/>
        </w:rPr>
        <w:t>、行政法规规定的建设条件；不符合规定的建设条件的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不得开工建设</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国务院规定应当审批开工报告的重大政府投资项目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按照规定办理开工报告审批手续后方可开工建设</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政府投资项目应当按照投资主管部门或者其他有关部门批准的建设地点、建设规模和建设内容实施；拟变更建设地点或者拟对建设规模、建设内容等作较大变更的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应当按照规定的程序报原审批部门审批</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政府投资项目所需资金应当按照国家有关规定确保落实到位。</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政府投资项目不得由施工单位垫资建设。</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第二十三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政府投资项目建设投资原则上不得超过经核定的投资概算。</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因国家政策调整、价格上涨、地质条件发生重大变化等原因确需增加投资概算的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项目单位应当提出调整方案及资金来源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按照规定的程序报原初步设计审批部门或者投资概算核定部门核</w:t>
      </w:r>
      <w:r>
        <w:rPr>
          <w:rFonts w:ascii="仿宋_GB2312" w:eastAsia="仿宋_GB2312" w:hAnsi="Times New Roman" w:cs="Times New Roman" w:hint="eastAsia"/>
          <w:sz w:val="32"/>
          <w:szCs w:val="32"/>
        </w:rPr>
        <w:t>定；涉及预算调整或者调剂的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依照有关预算的法律</w:t>
      </w:r>
      <w:r>
        <w:rPr>
          <w:rFonts w:ascii="仿宋_GB2312" w:eastAsia="仿宋_GB2312" w:hAnsi="Times New Roman" w:cs="Times New Roman" w:hint="eastAsia"/>
          <w:sz w:val="32"/>
          <w:szCs w:val="32"/>
        </w:rPr>
        <w:t>、行政法规和国家有关规定办理。</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政府投资项目应当按照国家有关规定合理确定并严格执行建设工期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任何单位和个人不得非法干预</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政府投资项目建成后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应当按照国家有关规定进行竣工验收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并在竣工验收合格后及时办理竣工财务决算</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政府投资项目结余的财政资金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应当按照国家有关规定缴回国库</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投资主管部门或者其他有关部门应当按照国家有关规定选择有代表性的已建成政府投资项目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委托中介服务机构对所选项目进行后评价</w:t>
      </w:r>
      <w:r>
        <w:rPr>
          <w:rFonts w:ascii="仿宋_GB2312" w:eastAsia="仿宋_GB2312" w:hAnsi="Times New Roman" w:cs="Times New Roman" w:hint="eastAsia"/>
          <w:sz w:val="32"/>
          <w:szCs w:val="32"/>
        </w:rPr>
        <w:t>。后评价应当根据项目建成后的实际效果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对项目审批和实施进行全面评价并提出明确意见</w:t>
      </w:r>
      <w:r>
        <w:rPr>
          <w:rFonts w:ascii="仿宋_GB2312" w:eastAsia="仿宋_GB2312" w:hAnsi="Times New Roman" w:cs="Times New Roman" w:hint="eastAsia"/>
          <w:sz w:val="32"/>
          <w:szCs w:val="32"/>
        </w:rPr>
        <w:t>。</w:t>
      </w:r>
    </w:p>
    <w:p w:rsidR="00C64FFD" w:rsidRDefault="00503FCF">
      <w:pPr>
        <w:pStyle w:val="2"/>
        <w:jc w:val="center"/>
        <w:rPr>
          <w:rFonts w:ascii="黑体" w:eastAsia="黑体" w:hAnsi="黑体"/>
          <w:b w:val="0"/>
        </w:rPr>
      </w:pPr>
      <w:r>
        <w:rPr>
          <w:rFonts w:ascii="黑体" w:eastAsia="黑体" w:hAnsi="黑体" w:cs="Times New Roman"/>
          <w:b w:val="0"/>
        </w:rPr>
        <w:t xml:space="preserve">第五章　</w:t>
      </w:r>
      <w:r>
        <w:rPr>
          <w:rFonts w:ascii="黑体" w:eastAsia="黑体" w:hAnsi="黑体" w:cs="Times New Roman" w:hint="eastAsia"/>
          <w:b w:val="0"/>
        </w:rPr>
        <w:t>监</w:t>
      </w:r>
      <w:r>
        <w:rPr>
          <w:rFonts w:ascii="黑体" w:eastAsia="黑体" w:hAnsi="黑体" w:cs="Times New Roman"/>
          <w:b w:val="0"/>
        </w:rPr>
        <w:t>督管理</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投资主管部门和依法对政府投资项目负有</w:t>
      </w:r>
      <w:r>
        <w:rPr>
          <w:rFonts w:ascii="仿宋_GB2312" w:eastAsia="仿宋_GB2312" w:hAnsi="Times New Roman" w:cs="Times New Roman" w:hint="eastAsia"/>
          <w:sz w:val="32"/>
          <w:szCs w:val="32"/>
        </w:rPr>
        <w:lastRenderedPageBreak/>
        <w:t>监督管理职责的其他部门应当采取在线监测、现场核查等方式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加强对政府投资项目实施情况的监督检查</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项目单位应当通过在线平台如实报送政府投资项目开工建设、建设进度、竣工的基本信息。</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投资主管部门和依法对政府投资项目负有监督管理职责的其他部门应当建立政府投资项目信息共享机制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通过在线平台实现信息共享</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项目单位应当按照国家有关规定加强政府投资项目档案管理</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将项目审批和实施过程中的有关文件、资料存档备查。</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政府投资年度计划、政府投资项目审批和实施以及监督检查的信息应当依法公开。</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政府投资项目的绩效管理、建设工程质量管理、安全生产管理等事项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依照有关法律</w:t>
      </w:r>
      <w:r>
        <w:rPr>
          <w:rFonts w:ascii="仿宋_GB2312" w:eastAsia="仿宋_GB2312" w:hAnsi="Times New Roman" w:cs="Times New Roman" w:hint="eastAsia"/>
          <w:sz w:val="32"/>
          <w:szCs w:val="32"/>
        </w:rPr>
        <w:t>、行政法规和国家有关规定执行。</w:t>
      </w:r>
    </w:p>
    <w:p w:rsidR="00C64FFD" w:rsidRDefault="00503FCF">
      <w:pPr>
        <w:pStyle w:val="2"/>
        <w:jc w:val="center"/>
        <w:rPr>
          <w:rFonts w:ascii="黑体" w:eastAsia="黑体" w:hAnsi="黑体"/>
          <w:b w:val="0"/>
        </w:rPr>
      </w:pPr>
      <w:r>
        <w:rPr>
          <w:rFonts w:ascii="黑体" w:eastAsia="黑体" w:hAnsi="黑体" w:cs="Times New Roman"/>
          <w:b w:val="0"/>
        </w:rPr>
        <w:t>第六章　法律</w:t>
      </w:r>
      <w:r>
        <w:rPr>
          <w:rFonts w:ascii="黑体" w:eastAsia="黑体" w:hAnsi="黑体" w:cs="Times New Roman" w:hint="eastAsia"/>
          <w:b w:val="0"/>
        </w:rPr>
        <w:t>责</w:t>
      </w:r>
      <w:r>
        <w:rPr>
          <w:rFonts w:ascii="黑体" w:eastAsia="黑体" w:hAnsi="黑体" w:cs="Times New Roman"/>
          <w:b w:val="0"/>
        </w:rPr>
        <w:t>任</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对负有责任的领导人员和直接责</w:t>
      </w:r>
      <w:r>
        <w:rPr>
          <w:rFonts w:ascii="仿宋_GB2312" w:eastAsia="仿宋_GB2312" w:hAnsi="Times New Roman" w:cs="Times New Roman" w:hint="eastAsia"/>
          <w:sz w:val="32"/>
          <w:szCs w:val="32"/>
        </w:rPr>
        <w:t>任人员依法给予处分：</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(一)超越审批权限审批政府投资项目；</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(二)对不符合规定的政府投资项目予以批准；</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(三)未按照规定核定或者调整政府投资项目的投资概算；</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(四)为不符合规定的项目安排投资补助、贷款贴息等政府投资资金；</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(五)履行政府投资管理职责中其他玩忽职守、滥用职权、徇私舞弊的情形。</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依照有关预算的法律、行政法规和国家有关规定追究法律责任：</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(一)政府及其有关部门违法违规举借债务筹措政府投资资金；</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(二)未按照规定及时、足额办理政府投资资金拨付；</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(三)转移、侵占、挪用政府投资资金。</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项目单位有下列情形之一的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根据具体情况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暂停</w:t>
      </w:r>
      <w:r>
        <w:rPr>
          <w:rFonts w:ascii="仿宋_GB2312" w:eastAsia="仿宋_GB2312" w:hAnsi="Times New Roman" w:cs="Times New Roman" w:hint="eastAsia"/>
          <w:sz w:val="32"/>
          <w:szCs w:val="32"/>
        </w:rPr>
        <w:t>、停止拨付资金或者收回已拨付的资金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暂停或者停止建</w:t>
      </w:r>
      <w:r>
        <w:rPr>
          <w:rFonts w:ascii="仿宋_GB2312" w:eastAsia="仿宋_GB2312" w:hAnsi="Times New Roman" w:cs="Times New Roman" w:hint="eastAsia"/>
          <w:sz w:val="32"/>
          <w:szCs w:val="32"/>
        </w:rPr>
        <w:t>设活动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对负有责任的领导人员和直接责任人员依法给予处分</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(一)未经批准或者不符合规定的建设条件开工建设政府投资项目；</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(二)弄虚作假骗取政府投资项目审批或者投资补助、贷款贴息等政府投资资金；</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(三)未经批准变更政府投资项目的建设地点或者对建设规模、建设内容等作较大变更；</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(四)擅自增加投资概算；</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(五)要求施工单位对政府投资项目垫资建设；</w:t>
      </w:r>
    </w:p>
    <w:p w:rsidR="00C64FFD" w:rsidRDefault="00503FCF">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(六)无正当理由不实施或者不按照建设工期实施已批准的政府投资项目。</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项目单位未按照规定将政府投资项目审批和实施过程中的有关文件、资料存档备查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或者转移</w:t>
      </w:r>
      <w:r>
        <w:rPr>
          <w:rFonts w:ascii="仿宋_GB2312" w:eastAsia="仿宋_GB2312" w:hAnsi="Times New Roman" w:cs="Times New Roman" w:hint="eastAsia"/>
          <w:sz w:val="32"/>
          <w:szCs w:val="32"/>
        </w:rPr>
        <w:t>、隐匿、篡改、毁弃项目有关文件、资料的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对负有责任的领导人员和直接责任人员依法给予处分</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构成犯罪的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依法追究刑事责任</w:t>
      </w:r>
      <w:r>
        <w:rPr>
          <w:rFonts w:ascii="仿宋_GB2312" w:eastAsia="仿宋_GB2312" w:hAnsi="Times New Roman" w:cs="Times New Roman" w:hint="eastAsia"/>
          <w:sz w:val="32"/>
          <w:szCs w:val="32"/>
        </w:rPr>
        <w:t>。</w:t>
      </w:r>
    </w:p>
    <w:p w:rsidR="00C64FFD" w:rsidRDefault="00DB4CA9">
      <w:pPr>
        <w:pStyle w:val="2"/>
        <w:jc w:val="center"/>
        <w:rPr>
          <w:rFonts w:ascii="黑体" w:eastAsia="黑体" w:hAnsi="黑体"/>
          <w:b w:val="0"/>
        </w:rPr>
      </w:pPr>
      <w:r>
        <w:rPr>
          <w:rFonts w:ascii="黑体" w:eastAsia="黑体" w:hAnsi="黑体" w:cs="Times New Roman"/>
          <w:b w:val="0"/>
        </w:rPr>
        <w:t>第七章　附</w:t>
      </w:r>
      <w:r w:rsidR="00503FCF">
        <w:rPr>
          <w:rFonts w:ascii="黑体" w:eastAsia="黑体" w:hAnsi="黑体" w:cs="Times New Roman" w:hint="eastAsia"/>
          <w:b w:val="0"/>
        </w:rPr>
        <w:t>则</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国防科技工业领域政府投资的管理办法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由国务院国防科技工业管理部门根据本条例规定的原则另行制定</w:t>
      </w:r>
      <w:r>
        <w:rPr>
          <w:rFonts w:ascii="仿宋_GB2312" w:eastAsia="仿宋_GB2312" w:hAnsi="Times New Roman" w:cs="Times New Roman" w:hint="eastAsia"/>
          <w:sz w:val="32"/>
          <w:szCs w:val="32"/>
        </w:rPr>
        <w:t>。</w:t>
      </w:r>
    </w:p>
    <w:p w:rsidR="00C64FFD" w:rsidRDefault="00503FCF">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中国人民解放军和中国人民武装警察部队的固定资产投资管理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按照中央军事委员会的规定执行</w:t>
      </w:r>
      <w:r>
        <w:rPr>
          <w:rFonts w:ascii="仿宋_GB2312" w:eastAsia="仿宋_GB2312" w:hAnsi="Times New Roman" w:cs="Times New Roman" w:hint="eastAsia"/>
          <w:sz w:val="32"/>
          <w:szCs w:val="32"/>
        </w:rPr>
        <w:t>。</w:t>
      </w:r>
    </w:p>
    <w:p w:rsidR="00C64FFD" w:rsidRDefault="00503FCF">
      <w:pPr>
        <w:pStyle w:val="a3"/>
        <w:ind w:firstLineChars="200" w:firstLine="640"/>
        <w:rPr>
          <w:rFonts w:ascii="Times New Roman" w:eastAsia="MingLiU_HKSCS" w:hAnsi="Times New Roman" w:cs="Times New Roman"/>
        </w:rPr>
      </w:pPr>
      <w:r>
        <w:rPr>
          <w:rFonts w:ascii="黑体" w:eastAsia="黑体" w:hAnsi="黑体" w:cs="Times New Roman"/>
          <w:sz w:val="32"/>
          <w:szCs w:val="32"/>
        </w:rPr>
        <w:t>第三十九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本条例自2019年7月1日起施行。</w:t>
      </w:r>
    </w:p>
    <w:p w:rsidR="00C64FFD" w:rsidRDefault="00C64FFD"/>
    <w:sectPr w:rsidR="00C64FFD" w:rsidSect="00C64FFD">
      <w:footerReference w:type="default" r:id="rId7"/>
      <w:pgSz w:w="11906" w:h="16838"/>
      <w:pgMar w:top="1440" w:right="1753" w:bottom="1440" w:left="1753"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7087" w:rsidRDefault="00C47087" w:rsidP="00C64FFD">
      <w:r>
        <w:separator/>
      </w:r>
    </w:p>
  </w:endnote>
  <w:endnote w:type="continuationSeparator" w:id="0">
    <w:p w:rsidR="00C47087" w:rsidRDefault="00C47087" w:rsidP="00C64F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notTrueType/>
    <w:pitch w:val="fixed"/>
    <w:sig w:usb0="00000003" w:usb1="00000000" w:usb2="00000000" w:usb3="00000000" w:csb0="00000001" w:csb1="00000000"/>
  </w:font>
  <w:font w:name="方正楷体_GBK">
    <w:panose1 w:val="03000509000000000000"/>
    <w:charset w:val="86"/>
    <w:family w:val="script"/>
    <w:pitch w:val="fixed"/>
    <w:sig w:usb0="00000001" w:usb1="080E0000" w:usb2="00000010" w:usb3="00000000" w:csb0="00040000" w:csb1="00000000"/>
  </w:font>
  <w:font w:name="MingLiU_HKSCS">
    <w:panose1 w:val="02020500000000000000"/>
    <w:charset w:val="88"/>
    <w:family w:val="roman"/>
    <w:pitch w:val="variable"/>
    <w:sig w:usb0="A00002FF" w:usb1="38CFFCFA" w:usb2="00000016" w:usb3="00000000" w:csb0="00100001"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4FFD" w:rsidRDefault="00794310">
    <w:pPr>
      <w:pStyle w:val="a4"/>
    </w:pPr>
    <w:r>
      <w:pict>
        <v:shapetype id="_x0000_t202" coordsize="21600,21600" o:spt="202" path="m,l,21600r21600,l21600,xe">
          <v:stroke joinstyle="miter"/>
          <v:path gradientshapeok="t" o:connecttype="rect"/>
        </v:shapetype>
        <v:shape id="_x0000_s1026" type="#_x0000_t202" style="position:absolute;margin-left:208pt;margin-top:0;width:2in;height:2in;z-index:251658240;mso-wrap-style:none;mso-position-horizontal:right;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xZ+TlrgEAAEsD&#10;AAAOAAAAAAAAAAEAIAAAAB4BAABkcnMvZTJvRG9jLnhtbFBLBQYAAAAABgAGAFkBAAA+BQAAAAA=&#10;" filled="f" stroked="f">
          <v:textbox style="mso-fit-shape-to-text:t" inset="0,0,0,0">
            <w:txbxContent>
              <w:p w:rsidR="00C64FFD" w:rsidRDefault="00794310">
                <w:pPr>
                  <w:pStyle w:val="a6"/>
                  <w:tabs>
                    <w:tab w:val="center" w:pos="4153"/>
                    <w:tab w:val="right" w:pos="8306"/>
                  </w:tabs>
                  <w:snapToGrid w:val="0"/>
                  <w:jc w:val="left"/>
                </w:pPr>
                <w:r>
                  <w:rPr>
                    <w:rFonts w:ascii="Calibri" w:eastAsia="宋体" w:hAnsi="Calibri" w:cs="Times New Roman"/>
                    <w:szCs w:val="24"/>
                  </w:rPr>
                  <w:fldChar w:fldCharType="begin"/>
                </w:r>
                <w:r w:rsidR="00503FCF">
                  <w:rPr>
                    <w:rFonts w:ascii="Calibri" w:eastAsia="宋体" w:hAnsi="Calibri" w:cs="Times New Roman"/>
                    <w:szCs w:val="24"/>
                  </w:rPr>
                  <w:instrText xml:space="preserve"> PAGE  \* MERGEFORMAT </w:instrText>
                </w:r>
                <w:r>
                  <w:rPr>
                    <w:rFonts w:ascii="Calibri" w:eastAsia="宋体" w:hAnsi="Calibri" w:cs="Times New Roman"/>
                    <w:szCs w:val="24"/>
                  </w:rPr>
                  <w:fldChar w:fldCharType="separate"/>
                </w:r>
                <w:r w:rsidR="00DB4CA9">
                  <w:rPr>
                    <w:rFonts w:ascii="Calibri" w:eastAsia="宋体" w:hAnsi="Calibri" w:cs="Times New Roman"/>
                    <w:noProof/>
                    <w:szCs w:val="24"/>
                  </w:rPr>
                  <w:t>- 10 -</w:t>
                </w:r>
                <w:r>
                  <w:rPr>
                    <w:rFonts w:ascii="Calibri" w:eastAsia="宋体" w:hAnsi="Calibri" w:cs="Times New Roman"/>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7087" w:rsidRDefault="00C47087" w:rsidP="00C64FFD">
      <w:r>
        <w:separator/>
      </w:r>
    </w:p>
  </w:footnote>
  <w:footnote w:type="continuationSeparator" w:id="0">
    <w:p w:rsidR="00C47087" w:rsidRDefault="00C47087" w:rsidP="00C64FF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DC834D9"/>
    <w:rsid w:val="004D1491"/>
    <w:rsid w:val="00503FCF"/>
    <w:rsid w:val="00794310"/>
    <w:rsid w:val="00C47087"/>
    <w:rsid w:val="00C64FFD"/>
    <w:rsid w:val="00DB4CA9"/>
    <w:rsid w:val="0DC834D9"/>
    <w:rsid w:val="5AC35D3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semiHidden="1" w:uiPriority="99"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Web)" w:semiHidden="1" w:uiPriority="99" w:unhideWhenUsed="1"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64FFD"/>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semiHidden/>
    <w:unhideWhenUsed/>
    <w:qFormat/>
    <w:rsid w:val="00C64FFD"/>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C64FFD"/>
    <w:rPr>
      <w:rFonts w:ascii="宋体" w:eastAsia="宋体" w:hAnsi="Courier New" w:cs="Courier New"/>
      <w:szCs w:val="21"/>
    </w:rPr>
  </w:style>
  <w:style w:type="paragraph" w:styleId="a4">
    <w:name w:val="footer"/>
    <w:basedOn w:val="a"/>
    <w:uiPriority w:val="99"/>
    <w:semiHidden/>
    <w:unhideWhenUsed/>
    <w:qFormat/>
    <w:rsid w:val="00C64FFD"/>
    <w:pPr>
      <w:tabs>
        <w:tab w:val="center" w:pos="4153"/>
        <w:tab w:val="right" w:pos="8306"/>
      </w:tabs>
      <w:snapToGrid w:val="0"/>
      <w:jc w:val="left"/>
    </w:pPr>
    <w:rPr>
      <w:sz w:val="18"/>
      <w:szCs w:val="18"/>
    </w:rPr>
  </w:style>
  <w:style w:type="paragraph" w:styleId="a5">
    <w:name w:val="header"/>
    <w:basedOn w:val="a"/>
    <w:rsid w:val="00C64FF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semiHidden/>
    <w:unhideWhenUsed/>
    <w:qFormat/>
    <w:rsid w:val="00C64FFD"/>
    <w:rPr>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624</Words>
  <Characters>3560</Characters>
  <Application>Microsoft Office Word</Application>
  <DocSecurity>0</DocSecurity>
  <Lines>29</Lines>
  <Paragraphs>8</Paragraphs>
  <ScaleCrop>false</ScaleCrop>
  <Company/>
  <LinksUpToDate>false</LinksUpToDate>
  <CharactersWithSpaces>4176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dcterms:created xsi:type="dcterms:W3CDTF">2020-08-18T05:03:00Z</dcterms:created>
  <dcterms:modified xsi:type="dcterms:W3CDTF">2020-08-30T11:28:00Z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