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13"/>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国际航行船舶进出</w:t>
      </w:r>
    </w:p>
    <w:p>
      <w:pPr>
        <w:pStyle w:val="13"/>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中华人民共和国口岸检查办法</w:t>
      </w:r>
    </w:p>
    <w:p>
      <w:pPr>
        <w:pStyle w:val="13"/>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13"/>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(1995年3月21日中华人民共和国国务院令第175号发布　根据2019年3月2日《国务院关于修改部分行政法规的决定》修订)</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为了加强对国际航行船舶进出中华人民共和国口岸的管理，便利船舶进出口岸，提高口岸效能，制定本办法。</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进出中华人民共和国口岸的国际航行船舶(以下简称船舶)及其所载船员、旅客、货物和其他物品，由本办法第三条规定的机关依照本办法实施检查；但是，法律另有特别规定的，或者国务院另有特别规定的，从其规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中华人民共和国港务监督机构(以下简称港务监督机构)、中华人民共和国海关(以下简称海关)、中华人民共和国出入境边防检查机关是负责对船舶进出中华人民共和国口岸实施检查的机关(以下统称检查机关)。</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检查机关依照有关法律、行政法规的规定实施检查并对违法行为进行处理。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港务监督机构负责召集有其他检查机关参加的船舶进出口岸检查联席会议，研究、解决船舶进出口岸检查的有关问题。</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船舶进出中华人民共和国口岸，由船方或其代理人依照本办法有关规定办理进出口岸手续。除本办法第十条第二款、第十一条规定的情形或者其他特殊情形外，检查机关不登船检查。</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船方或其代理人办理船舶进出口岸手续时，应当按照检查机关的有关规定准确填写报表，并如实提供有关证件、资料。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船方或其代理人应当在船舶预计抵达口岸7日前(航程不足7日的，在驶离上一口岸时)，填写《国际航行船舶进口岸申请书》，报请抵达口岸的港务监督机构审批。</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拟进入长江水域的船舶，船方或其代理人应当在船舶预计经上海港区7日前(航程不足7日的，在驶离上一口岸时)，填写《国际航行船舶进口岸申请书》，报请抵达口岸的港务监督机构审批。</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船方或其代理人应当在船舶预计抵达口岸24小时前(航程不足24小时的，在驶离上一口岸时)，将抵达时间、停泊地点、靠泊移泊计划及船员、旅客的有关情况报告检查机关。</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船方或其代理人在船舶抵达口岸前未办妥进口岸手续的，须在船舶抵达口岸24小时内到检查机关办理进口岸手续。</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船舶在口岸停泊时间不足24小时的，经检查机关同意，船方或其代理人在办理进口岸手续时，可以同时办理出口岸手续。</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船方或其代理人在船舶抵达口岸前已经办妥进口岸手续的，船舶抵达后即可上下人员、装卸货物和其他物品。</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船方或其代理人在船舶抵达口岸前未办妥进口岸手续的，船舶抵达后，除检查机关办理进口岸检查手续的工作人员和引航员外，其他人员不得上下船舶、不得装卸货物和其他物品；船舶进出的上一口岸是中华人民共和国口岸的，船舶抵达后即可上下人员、装卸货物和其他物品，但是应当立即办理进口岸手续。</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海关对船舶实施电讯检疫。持有卫生证书的船舶，其船方或其代理人可以向海关申请电讯检疫。</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对来自疫区的船舶，载有检疫传染病染疫人、疑似检疫传染病染疫人、非意外伤害而死亡且死因不明尸体的船舶，未持有卫生证书或者证书过期或者卫生状况不符合要求的船舶，海关应当在锚地实施检疫。</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海关对来自动植物疫区的船舶和船舶装载的动植物、动植物产品及其他检疫物，可以在锚地实施检疫。</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船方或其代理人应当在船舶驶离口岸前4小时内(船舶在口岸停泊时间不足4小时的，在抵达口岸时)，到检查机关办理必要的出口岸手续。有关检查机关应当在《船舶出口岸手续联系单》上签注；船方或其代理人持《船舶出口岸手续联系单》和港务监督机构要求的其他证件、资料，到港务监督机构申请领取出口岸许可证。</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船舶领取出口岸许可证后，情况发生变化或者24小时内未能驶离口岸的，船方或其代理人应当报告港务监督机构，由港务监督机构商其他检查机关决定是否重新办理出口岸手续。</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定航线、定船员并在24小时内往返一个或者一个以上航次的船舶，船方或其代理人可以向港务监督机构书面申请办理定期进出口岸手续。受理申请的港务监督机构商其他检查机关审查批准后，签发有效期不超过7天的定期出口岸许可证，在许可证有效期内对该船舶免办进口岸手续。</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检查机关及其工作人员必须秉公执法，恪尽职守，及时实施检查和办理船舶进出口岸的申请。</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本办法下列用语的含义：</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(一)国际航行船舶，是指进出中华人民共和国口岸的外国籍船舶和航行国际航线的中华人民共和国国籍船舶。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(二)口岸，是指国家批准可以进出国际航行船舶的港口。</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(三)船方，是指船舶所有人或者经营人。</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本办法自发布之日起施行。经国务院批准，1961年10月24日由交通部、对外贸易部、公安部、卫生部发布的《进出口船舶联合检查通则》同时废止。</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rPr>
          <w:rFonts w:hint="eastAsia"/>
          <w:lang w:eastAsia="zh-CN"/>
        </w:rPr>
      </w:pP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8413C16"/>
    <w:rsid w:val="198A0A54"/>
    <w:rsid w:val="19DB6C33"/>
    <w:rsid w:val="1C9212F7"/>
    <w:rsid w:val="20D86240"/>
    <w:rsid w:val="21CE0F2E"/>
    <w:rsid w:val="22DD4281"/>
    <w:rsid w:val="253620CC"/>
    <w:rsid w:val="25F044FF"/>
    <w:rsid w:val="26CA1A3A"/>
    <w:rsid w:val="27680A3B"/>
    <w:rsid w:val="2834230D"/>
    <w:rsid w:val="28F8723D"/>
    <w:rsid w:val="2B01664D"/>
    <w:rsid w:val="2D644059"/>
    <w:rsid w:val="2DBE0D65"/>
    <w:rsid w:val="2E1B43B4"/>
    <w:rsid w:val="2ED32E01"/>
    <w:rsid w:val="2FF20DF5"/>
    <w:rsid w:val="318138A8"/>
    <w:rsid w:val="320E2B0A"/>
    <w:rsid w:val="32252208"/>
    <w:rsid w:val="330D4027"/>
    <w:rsid w:val="3330356C"/>
    <w:rsid w:val="33CF5811"/>
    <w:rsid w:val="35095248"/>
    <w:rsid w:val="3622410D"/>
    <w:rsid w:val="386D21AD"/>
    <w:rsid w:val="3A7915E5"/>
    <w:rsid w:val="3B1265AF"/>
    <w:rsid w:val="3BA0652C"/>
    <w:rsid w:val="3BDF53DA"/>
    <w:rsid w:val="3CA23060"/>
    <w:rsid w:val="3CDF39C7"/>
    <w:rsid w:val="3D762392"/>
    <w:rsid w:val="3DFC6899"/>
    <w:rsid w:val="3E3675FB"/>
    <w:rsid w:val="3F800236"/>
    <w:rsid w:val="3F8C783C"/>
    <w:rsid w:val="40DC5AC3"/>
    <w:rsid w:val="40F66CF8"/>
    <w:rsid w:val="40FE47B4"/>
    <w:rsid w:val="41B857FD"/>
    <w:rsid w:val="4361706F"/>
    <w:rsid w:val="43CA1521"/>
    <w:rsid w:val="441D2B3B"/>
    <w:rsid w:val="4442475D"/>
    <w:rsid w:val="444B0E8A"/>
    <w:rsid w:val="47A250A3"/>
    <w:rsid w:val="48AC4D69"/>
    <w:rsid w:val="494B3B16"/>
    <w:rsid w:val="49C224BB"/>
    <w:rsid w:val="4DC87E21"/>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2019-12-25T13:55:44Z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