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6A521" w14:textId="77777777" w:rsidR="008B1D78" w:rsidRDefault="008B1D78">
      <w:pPr>
        <w:pStyle w:val="a3"/>
        <w:jc w:val="center"/>
        <w:rPr>
          <w:rFonts w:ascii="Times New Roman" w:hAnsi="Times New Roman" w:cs="Times New Roman"/>
          <w:sz w:val="32"/>
          <w:szCs w:val="32"/>
        </w:rPr>
      </w:pPr>
    </w:p>
    <w:p w14:paraId="55B9C30C" w14:textId="77777777" w:rsidR="008B1D78" w:rsidRDefault="000D1CAD">
      <w:pPr>
        <w:pStyle w:val="a3"/>
        <w:jc w:val="center"/>
        <w:rPr>
          <w:rFonts w:ascii="Times New Roman" w:hAnsi="Times New Roman" w:cs="Times New Roman"/>
          <w:sz w:val="32"/>
          <w:szCs w:val="32"/>
        </w:rPr>
      </w:pPr>
      <w:r>
        <w:rPr>
          <w:rFonts w:ascii="Times New Roman" w:hAnsi="Times New Roman" w:cs="Times New Roman"/>
          <w:sz w:val="44"/>
          <w:szCs w:val="44"/>
        </w:rPr>
        <w:t>城市民族工作条例</w:t>
      </w:r>
    </w:p>
    <w:p w14:paraId="527C781A" w14:textId="77777777" w:rsidR="008B1D78" w:rsidRDefault="008B1D78">
      <w:pPr>
        <w:pStyle w:val="a3"/>
        <w:jc w:val="center"/>
        <w:rPr>
          <w:rFonts w:ascii="Times New Roman" w:hAnsi="Times New Roman" w:cs="Times New Roman"/>
          <w:sz w:val="32"/>
          <w:szCs w:val="32"/>
        </w:rPr>
      </w:pPr>
    </w:p>
    <w:p w14:paraId="0C1867FF" w14:textId="0D2A1F39" w:rsidR="008B1D78" w:rsidRDefault="00FE2B24">
      <w:pPr>
        <w:pStyle w:val="a3"/>
        <w:ind w:firstLineChars="200" w:firstLine="640"/>
        <w:rPr>
          <w:rFonts w:ascii="楷体_GB2312" w:eastAsia="楷体_GB2312" w:hAnsi="楷体_GB2312" w:cs="楷体_GB2312"/>
          <w:sz w:val="32"/>
          <w:szCs w:val="32"/>
        </w:rPr>
      </w:pPr>
      <w:r w:rsidRPr="00FE2B24">
        <w:rPr>
          <w:rFonts w:ascii="楷体_GB2312" w:eastAsia="楷体_GB2312" w:hAnsi="楷体_GB2312" w:cs="楷体_GB2312" w:hint="eastAsia"/>
          <w:sz w:val="32"/>
          <w:szCs w:val="32"/>
        </w:rPr>
        <w:t xml:space="preserve">(1993年8月29日国务院批准　</w:t>
      </w:r>
      <w:proofErr w:type="gramStart"/>
      <w:r w:rsidRPr="00FE2B24">
        <w:rPr>
          <w:rFonts w:ascii="楷体_GB2312" w:eastAsia="楷体_GB2312" w:hAnsi="楷体_GB2312" w:cs="楷体_GB2312" w:hint="eastAsia"/>
          <w:sz w:val="32"/>
          <w:szCs w:val="32"/>
        </w:rPr>
        <w:t>国函〔1993〕</w:t>
      </w:r>
      <w:proofErr w:type="gramEnd"/>
      <w:r w:rsidRPr="00FE2B24">
        <w:rPr>
          <w:rFonts w:ascii="楷体_GB2312" w:eastAsia="楷体_GB2312" w:hAnsi="楷体_GB2312" w:cs="楷体_GB2312" w:hint="eastAsia"/>
          <w:sz w:val="32"/>
          <w:szCs w:val="32"/>
        </w:rPr>
        <w:t>125号　1993年9月15日国家民族事务委员会令第2号发布　自发布之日起施行)</w:t>
      </w:r>
    </w:p>
    <w:p w14:paraId="1F5A605B" w14:textId="77777777" w:rsidR="008B1D78" w:rsidRDefault="008B1D78">
      <w:pPr>
        <w:pStyle w:val="a3"/>
        <w:ind w:firstLineChars="200" w:firstLine="640"/>
        <w:rPr>
          <w:rFonts w:ascii="Times New Roman" w:hAnsi="Times New Roman" w:cs="Times New Roman"/>
          <w:sz w:val="32"/>
          <w:szCs w:val="32"/>
        </w:rPr>
      </w:pPr>
    </w:p>
    <w:p w14:paraId="692F37CE"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为了加强城市民族工作，保障城市少数民族的合法权益，促进适应城市少数民族需要的经济、文化事业的发展，制定本条例。</w:t>
      </w:r>
    </w:p>
    <w:p w14:paraId="537CD53E"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本条例所称的城市，是指国家按照行政建制设立的直辖市、市。</w:t>
      </w:r>
    </w:p>
    <w:p w14:paraId="770D8B94"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城市民族工作坚持民族平等、团结、互助和促进各民族共同繁荣的原则。</w:t>
      </w:r>
    </w:p>
    <w:p w14:paraId="5DB0A7B9"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省、自治区、直辖市人民政府应当将城市民族工作作为一项重要职责，加强领导，统筹安排。</w:t>
      </w:r>
    </w:p>
    <w:p w14:paraId="5D1F40E4"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城市人民政府应当将适应当地少数民族需要的经济、文化事业列入国民经济和社会发展计划。</w:t>
      </w:r>
    </w:p>
    <w:p w14:paraId="13095F1F" w14:textId="77777777" w:rsidR="008B1D78" w:rsidRDefault="000D1CAD">
      <w:pPr>
        <w:pStyle w:val="a3"/>
        <w:ind w:firstLineChars="200" w:firstLine="640"/>
        <w:rPr>
          <w:rFonts w:ascii="Times New Roman" w:hAnsi="Times New Roman" w:cs="Times New Roman"/>
          <w:sz w:val="32"/>
          <w:szCs w:val="32"/>
        </w:rPr>
      </w:pPr>
      <w:r>
        <w:rPr>
          <w:rFonts w:ascii="仿宋_GB2312" w:eastAsia="仿宋_GB2312" w:hAnsi="仿宋_GB2312" w:cs="仿宋_GB2312" w:hint="eastAsia"/>
          <w:sz w:val="32"/>
          <w:szCs w:val="32"/>
        </w:rPr>
        <w:t>城市人民政府对于发展适应当地少数民族需要的经济、文化事业的资金，可以根据财力给予适当照顾。</w:t>
      </w:r>
    </w:p>
    <w:p w14:paraId="6992D824"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第六条　</w:t>
      </w:r>
      <w:r>
        <w:rPr>
          <w:rFonts w:ascii="Times New Roman" w:eastAsia="仿宋_GB2312" w:hAnsi="Times New Roman" w:cs="Times New Roman"/>
          <w:sz w:val="32"/>
          <w:szCs w:val="32"/>
        </w:rPr>
        <w:t>城市人民政府根据实际情况，可以确定负责民族事务工作的部门或者配备专职干部，管理民族事务。</w:t>
      </w:r>
    </w:p>
    <w:p w14:paraId="417AB98A"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少数民族人口较多的城市的人民政府、少数民族聚居的街道的办事处，以及直接为少数民族生产、生活服务的部门或者单位，应当配备适当数量的少数民族干</w:t>
      </w:r>
      <w:r>
        <w:rPr>
          <w:rFonts w:ascii="Times New Roman" w:eastAsia="仿宋_GB2312" w:hAnsi="Times New Roman" w:cs="Times New Roman"/>
          <w:sz w:val="32"/>
          <w:szCs w:val="32"/>
        </w:rPr>
        <w:t>部。</w:t>
      </w:r>
    </w:p>
    <w:p w14:paraId="1C2CC285"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城市人民政府应当重视少数民族干部的培养和选拔。</w:t>
      </w:r>
    </w:p>
    <w:p w14:paraId="7C2F248E"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城市人民政府有关部门应当重视少数民族专业技术人员的培养和使用。</w:t>
      </w:r>
    </w:p>
    <w:p w14:paraId="379A5D4A"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城市人民政府鼓励企业招收少数民族职工。</w:t>
      </w:r>
    </w:p>
    <w:p w14:paraId="37F9A38B"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城市人民政府应当重视发展少数民族教育事业，加强对少数民族教育事业的领导和支持。</w:t>
      </w:r>
    </w:p>
    <w:p w14:paraId="7F03E628"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城市人民政府应当采取适当措施，提高少数民族教师队伍的素质，办好各级各类民族学校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，在经费、教师配备方面对民族学校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给予适当照顾，并根据当地少数民族的特点发展各种职业技术教育和成人教育。</w:t>
      </w:r>
    </w:p>
    <w:p w14:paraId="53A1847E"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地方招生部门可以按照国家有关规定，结合当地实际情况，对义务教育后阶段的少数民族考生，招生时给予适当照顾。</w:t>
      </w:r>
    </w:p>
    <w:p w14:paraId="7664A844"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信贷部门对以少数民族为主要服务对象的从事食品生产、加工、经营和饮食服务的国有企业和集体企业，在贷款</w:t>
      </w:r>
      <w:r>
        <w:rPr>
          <w:rFonts w:ascii="Times New Roman" w:eastAsia="仿宋_GB2312" w:hAnsi="Times New Roman" w:cs="Times New Roman"/>
          <w:sz w:val="32"/>
          <w:szCs w:val="32"/>
        </w:rPr>
        <w:lastRenderedPageBreak/>
        <w:t>额度、还款期限、自有资金比例方面给予优惠。</w:t>
      </w:r>
    </w:p>
    <w:p w14:paraId="0E983862"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城市人民政府对本条例第十条所列企业以及生产经营少数民</w:t>
      </w:r>
      <w:r>
        <w:rPr>
          <w:rFonts w:ascii="Times New Roman" w:eastAsia="仿宋_GB2312" w:hAnsi="Times New Roman" w:cs="Times New Roman"/>
          <w:sz w:val="32"/>
          <w:szCs w:val="32"/>
        </w:rPr>
        <w:t>族用品企业的贷款，可以根据当地的实际需要和条件，予以贴息。</w:t>
      </w:r>
    </w:p>
    <w:p w14:paraId="00B7CEDD"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本条例第十条所列企业纳税确有困难的，税务机关依照有关税收法律、法规的规定，给予减税或者免税。</w:t>
      </w:r>
    </w:p>
    <w:p w14:paraId="26879DCC"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城市人民政府应当根据实际需要，合理设置清真饭店和清真食品生产加工、供应网点，并在投资、贷款、税收等方面给予扶持。</w:t>
      </w:r>
    </w:p>
    <w:p w14:paraId="3BBD66B7"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对城市民族贸易企业和民族用品定点生产企业的优惠，按照国家有关规定办理。</w:t>
      </w:r>
    </w:p>
    <w:p w14:paraId="6C1A4405"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城市人民政府应当支持并组织有关经济、技术部门，加强同少数民族地区和农村散杂居少数民族开展横向经济技术协作。</w:t>
      </w:r>
    </w:p>
    <w:p w14:paraId="46B06B8D"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城市人民政府有</w:t>
      </w:r>
      <w:r>
        <w:rPr>
          <w:rFonts w:ascii="Times New Roman" w:eastAsia="仿宋_GB2312" w:hAnsi="Times New Roman" w:cs="Times New Roman"/>
          <w:sz w:val="32"/>
          <w:szCs w:val="32"/>
        </w:rPr>
        <w:t>关部门对进入本市兴办企业和从事其他合法经营活动的外地少数民族人员，应当根据情况提供便利条件，予以支持。</w:t>
      </w:r>
    </w:p>
    <w:p w14:paraId="791AE440"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城市人民政府应当加强对少数民族流动人员的教育和管理，保护其合法权益。</w:t>
      </w:r>
    </w:p>
    <w:p w14:paraId="17B357E6"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少数民族流动人员应当自觉遵守国家的法律、法规，服从当</w:t>
      </w:r>
      <w:r>
        <w:rPr>
          <w:rFonts w:ascii="仿宋_GB2312" w:eastAsia="仿宋_GB2312" w:hAnsi="仿宋_GB2312" w:cs="仿宋_GB2312" w:hint="eastAsia"/>
          <w:sz w:val="32"/>
          <w:szCs w:val="32"/>
        </w:rPr>
        <w:lastRenderedPageBreak/>
        <w:t>地人民政府有关部门的管理。</w:t>
      </w:r>
    </w:p>
    <w:p w14:paraId="563FD4B7"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城市人民政府应当教育各民族干部、群众相互尊重民族风俗习惯。宣传、报导、文艺创作、电影电视摄制，应当尊重少数民族风俗习惯、宗教信仰和民族感情。</w:t>
      </w:r>
    </w:p>
    <w:p w14:paraId="69D0593A"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清真饮食服务企业和食品生产、加工企业必须配备一定比例的食用清真食品的少数民族职工和管理干部。清真</w:t>
      </w:r>
      <w:r>
        <w:rPr>
          <w:rFonts w:ascii="Times New Roman" w:eastAsia="仿宋_GB2312" w:hAnsi="Times New Roman" w:cs="Times New Roman"/>
          <w:sz w:val="32"/>
          <w:szCs w:val="32"/>
        </w:rPr>
        <w:t>食品的运输车辆、计量器具、储藏容器和加工、出售场地应当保证专用。</w:t>
      </w:r>
    </w:p>
    <w:p w14:paraId="78FC03B9"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清真饮食服务企业和食品生产、加工企业实行承包、租赁时，一般应当由有关少数民族人员承包或者租赁。清真饮食服务企业和食品生产、加工企业兼并或者被兼并时，不得随意改变其服务方向，确实需要改变服务方向的，必须征得当地城市人民政府民族事务工作部门同意。</w:t>
      </w:r>
    </w:p>
    <w:p w14:paraId="7727C17F"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少数民族人口较多的城市的人民政府，应当根据需要和条件，设立具有民族特点的文化馆</w:t>
      </w:r>
      <w:r>
        <w:rPr>
          <w:rFonts w:ascii="Times New Roman" w:eastAsia="仿宋_GB2312" w:hAnsi="Times New Roman" w:cs="Times New Roman"/>
          <w:sz w:val="32"/>
          <w:szCs w:val="32"/>
        </w:rPr>
        <w:t>(</w:t>
      </w:r>
      <w:r>
        <w:rPr>
          <w:rFonts w:ascii="Times New Roman" w:eastAsia="仿宋_GB2312" w:hAnsi="Times New Roman" w:cs="Times New Roman"/>
          <w:sz w:val="32"/>
          <w:szCs w:val="32"/>
        </w:rPr>
        <w:t>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、图书馆。</w:t>
      </w:r>
    </w:p>
    <w:p w14:paraId="4B37178D"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城市人民政府应当保障少数民族使用本民族语言文字的权利，并根据需要和条件，按照国家有关规</w:t>
      </w:r>
      <w:r>
        <w:rPr>
          <w:rFonts w:ascii="Times New Roman" w:eastAsia="仿宋_GB2312" w:hAnsi="Times New Roman" w:cs="Times New Roman"/>
          <w:sz w:val="32"/>
          <w:szCs w:val="32"/>
        </w:rPr>
        <w:t>定加强少数民族文字的翻译、出版和教学研究。</w:t>
      </w:r>
    </w:p>
    <w:p w14:paraId="1B8F6427"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少数民族人口较多的城市的人民政府，应当根据实际需要和条件，建立民族医院、民族医药学研究机构，发展</w:t>
      </w:r>
      <w:r>
        <w:rPr>
          <w:rFonts w:ascii="Times New Roman" w:eastAsia="仿宋_GB2312" w:hAnsi="Times New Roman" w:cs="Times New Roman"/>
          <w:sz w:val="32"/>
          <w:szCs w:val="32"/>
        </w:rPr>
        <w:lastRenderedPageBreak/>
        <w:t>少数民族传统医药科学。</w:t>
      </w:r>
    </w:p>
    <w:p w14:paraId="6701DD2B"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城市人民政府应当在少数民族中加强计划生育的宣传、教育和指导工作。</w:t>
      </w:r>
    </w:p>
    <w:p w14:paraId="4D8EB2E1"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城市人民政府在少数民族聚居的街道，应当按照城市规划，保护和建设具有民族风格的建筑物。</w:t>
      </w:r>
    </w:p>
    <w:p w14:paraId="76715008"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城市人民政府应当保障少数民族保持或者改革民族风俗习惯的自由。</w:t>
      </w:r>
    </w:p>
    <w:p w14:paraId="74182B21"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城市人民政府应当按照国家有关规定，对具有特殊丧葬习俗的少数民族妥善安排墓地</w:t>
      </w:r>
      <w:r>
        <w:rPr>
          <w:rFonts w:ascii="Times New Roman" w:eastAsia="仿宋_GB2312" w:hAnsi="Times New Roman" w:cs="Times New Roman"/>
          <w:sz w:val="32"/>
          <w:szCs w:val="32"/>
        </w:rPr>
        <w:t>，并采取措施加强少数民族的殡葬服务。</w:t>
      </w:r>
    </w:p>
    <w:p w14:paraId="5E3B844D" w14:textId="77777777" w:rsidR="008B1D78" w:rsidRDefault="000D1CAD">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城市人民政府对少数民族人员自愿实行丧葬改革的，应当给予支持。</w:t>
      </w:r>
    </w:p>
    <w:p w14:paraId="2C4F6CCB"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少数民族职工参加本民族重大节日活动，可以按照国家有关规定放假，并照发工资。</w:t>
      </w:r>
    </w:p>
    <w:p w14:paraId="7E0D7405"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城市人民政府对于在城市民族工作中做出显著成绩和贡献的单位和个人，给予表彰、奖励。</w:t>
      </w:r>
    </w:p>
    <w:p w14:paraId="6528E092"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省、自治区、直辖市人民政府可以根据本条例，结合当地实际情况，制定实施办法。</w:t>
      </w:r>
    </w:p>
    <w:p w14:paraId="6C3C2B83" w14:textId="77777777" w:rsidR="008B1D78" w:rsidRDefault="000D1CA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本条例由国家民族事务委员会负责解释。</w:t>
      </w:r>
    </w:p>
    <w:p w14:paraId="5B5E1EB3" w14:textId="77777777" w:rsidR="008B1D78" w:rsidRDefault="000D1CAD">
      <w:pPr>
        <w:pStyle w:val="a3"/>
        <w:ind w:firstLineChars="200" w:firstLine="640"/>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本条例自发布之日起施行。</w:t>
      </w:r>
    </w:p>
    <w:sectPr w:rsidR="008B1D7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217C5" w14:textId="77777777" w:rsidR="000D1CAD" w:rsidRDefault="000D1CAD">
      <w:r>
        <w:separator/>
      </w:r>
    </w:p>
  </w:endnote>
  <w:endnote w:type="continuationSeparator" w:id="0">
    <w:p w14:paraId="361D602E" w14:textId="77777777" w:rsidR="000D1CAD" w:rsidRDefault="000D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0" w:usb1="00000000" w:usb2="00000000" w:usb3="00000000" w:csb0="00040000" w:csb1="00000000"/>
  </w:font>
  <w:font w:name="方正楷体_GBK">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auto"/>
    <w:pitch w:val="default"/>
    <w:sig w:usb0="00000000" w:usb1="00000000" w:usb2="00000000" w:usb3="00000000" w:csb0="00040000" w:csb1="00000000"/>
  </w:font>
  <w:font w:name="仿宋_GB2312">
    <w:altName w:val="微软雅黑"/>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35677" w14:textId="77777777" w:rsidR="008B1D78" w:rsidRDefault="000D1CAD">
    <w:pPr>
      <w:pStyle w:val="a5"/>
    </w:pPr>
    <w:r>
      <w:rPr>
        <w:noProof/>
      </w:rPr>
      <mc:AlternateContent>
        <mc:Choice Requires="wps">
          <w:drawing>
            <wp:anchor distT="0" distB="0" distL="114300" distR="114300" simplePos="0" relativeHeight="251658240" behindDoc="0" locked="0" layoutInCell="1" allowOverlap="1" wp14:anchorId="231ABC48" wp14:editId="53B5E8F3">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4B6A778" w14:textId="77777777" w:rsidR="008B1D78" w:rsidRDefault="000D1CA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231ABC48"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04B6A778" w14:textId="77777777" w:rsidR="008B1D78" w:rsidRDefault="000D1CA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9265C" w14:textId="77777777" w:rsidR="000D1CAD" w:rsidRDefault="000D1CAD">
      <w:r>
        <w:separator/>
      </w:r>
    </w:p>
  </w:footnote>
  <w:footnote w:type="continuationSeparator" w:id="0">
    <w:p w14:paraId="6602B759" w14:textId="77777777" w:rsidR="000D1CAD" w:rsidRDefault="000D1C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D1CAD"/>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B1D78"/>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0FE2B24"/>
    <w:rsid w:val="0152181F"/>
    <w:rsid w:val="01AB304A"/>
    <w:rsid w:val="01B023D3"/>
    <w:rsid w:val="01CF6706"/>
    <w:rsid w:val="026D2287"/>
    <w:rsid w:val="029A493F"/>
    <w:rsid w:val="02B836F8"/>
    <w:rsid w:val="02D3568D"/>
    <w:rsid w:val="03356D16"/>
    <w:rsid w:val="03985ADA"/>
    <w:rsid w:val="039F0CBD"/>
    <w:rsid w:val="04401145"/>
    <w:rsid w:val="048412D7"/>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3F734D7"/>
    <w:rsid w:val="34031BBE"/>
    <w:rsid w:val="35095248"/>
    <w:rsid w:val="355560D1"/>
    <w:rsid w:val="386D21AD"/>
    <w:rsid w:val="387E7233"/>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4B74D4B"/>
    <w:rsid w:val="45866A2B"/>
    <w:rsid w:val="47A250A3"/>
    <w:rsid w:val="47C55193"/>
    <w:rsid w:val="48AC4D69"/>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7E2579"/>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5969D"/>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