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FF954E9" w14:textId="77777777" w:rsidR="00EE0481" w:rsidRDefault="00EE0481">
      <w:pPr>
        <w:pStyle w:val="a3"/>
        <w:jc w:val="center"/>
        <w:rPr>
          <w:rFonts w:ascii="Times New Roman" w:hAnsi="Times New Roman" w:cs="Times New Roman"/>
          <w:sz w:val="44"/>
          <w:szCs w:val="44"/>
        </w:rPr>
      </w:pPr>
    </w:p>
    <w:p w14:paraId="6B3B21BF" w14:textId="77777777" w:rsidR="00EE0481" w:rsidRDefault="00C33199">
      <w:pPr>
        <w:pStyle w:val="a3"/>
        <w:jc w:val="center"/>
        <w:rPr>
          <w:rFonts w:ascii="Times New Roman" w:hAnsi="Times New Roman" w:cs="Times New Roman"/>
          <w:sz w:val="44"/>
          <w:szCs w:val="44"/>
        </w:rPr>
      </w:pPr>
      <w:r>
        <w:rPr>
          <w:rFonts w:ascii="Times New Roman" w:hAnsi="Times New Roman" w:cs="Times New Roman"/>
          <w:sz w:val="44"/>
          <w:szCs w:val="44"/>
        </w:rPr>
        <w:t>村庄和集镇规划建设管理条例</w:t>
      </w:r>
    </w:p>
    <w:p w14:paraId="568A8895" w14:textId="77777777" w:rsidR="00EE0481" w:rsidRDefault="00EE0481">
      <w:pPr>
        <w:pStyle w:val="a3"/>
        <w:jc w:val="center"/>
        <w:rPr>
          <w:rFonts w:ascii="Times New Roman" w:hAnsi="Times New Roman" w:cs="Times New Roman"/>
          <w:sz w:val="44"/>
          <w:szCs w:val="44"/>
        </w:rPr>
      </w:pPr>
    </w:p>
    <w:p w14:paraId="1BA6A10F" w14:textId="77777777" w:rsidR="00EE0481" w:rsidRDefault="00C33199">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116</w:t>
      </w:r>
      <w:r>
        <w:rPr>
          <w:rFonts w:ascii="楷体_GB2312" w:eastAsia="楷体_GB2312" w:hAnsi="楷体_GB2312" w:cs="楷体_GB2312" w:hint="eastAsia"/>
          <w:sz w:val="32"/>
          <w:szCs w:val="32"/>
        </w:rPr>
        <w:t>号发布　自</w:t>
      </w:r>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14:paraId="627D89A0" w14:textId="77777777" w:rsidR="00EE0481" w:rsidRDefault="00C33199">
      <w:pPr>
        <w:pStyle w:val="2"/>
      </w:pPr>
      <w:r>
        <w:rPr>
          <w:rFonts w:ascii="Times New Roman" w:hAnsi="Times New Roman" w:cs="Times New Roman"/>
        </w:rPr>
        <w:t>第一章　总则</w:t>
      </w:r>
    </w:p>
    <w:p w14:paraId="05159C6A"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为加强村庄、集镇的规划建设管理，改善村庄、集镇的生产、生活环境，促进农村经济和社会发展，制定本条例。</w:t>
      </w:r>
    </w:p>
    <w:p w14:paraId="291E4774"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制定和实施村庄、集镇规划，在村庄、集镇规划区内进行居民住宅、乡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村企业、乡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村公共设施和公益事业等的建设，必须遵守本条例。但是，国家征用集体所有的土地进行的建设除外。</w:t>
      </w:r>
    </w:p>
    <w:p w14:paraId="09A808C8" w14:textId="77777777" w:rsidR="00EE0481" w:rsidRDefault="00C33199">
      <w:pPr>
        <w:pStyle w:val="a3"/>
        <w:ind w:firstLineChars="200" w:firstLine="640"/>
        <w:rPr>
          <w:rFonts w:ascii="Times New Roman" w:hAnsi="Times New Roman" w:cs="Times New Roman"/>
          <w:sz w:val="32"/>
          <w:szCs w:val="32"/>
        </w:rPr>
      </w:pPr>
      <w:r>
        <w:rPr>
          <w:rFonts w:ascii="仿宋_GB2312" w:eastAsia="仿宋_GB2312" w:hAnsi="仿宋_GB2312" w:cs="仿宋_GB2312" w:hint="eastAsia"/>
          <w:sz w:val="32"/>
          <w:szCs w:val="32"/>
        </w:rPr>
        <w:t>在城市规划区内的村庄、集镇规划的制定和实施，依照城市规划法及其实施条例执行。</w:t>
      </w:r>
    </w:p>
    <w:p w14:paraId="0E6599C1"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本条例所称村庄，是指农村村民居住和从事各种生产的聚居点。</w:t>
      </w:r>
    </w:p>
    <w:p w14:paraId="6AC84452"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本条例所称集镇，是指乡、民族乡人民政府所在地和经县级人民政府确认由集市发展而成的作为农村一定区域经济、文化和</w:t>
      </w:r>
      <w:r>
        <w:rPr>
          <w:rFonts w:ascii="仿宋_GB2312" w:eastAsia="仿宋_GB2312" w:hAnsi="仿宋_GB2312" w:cs="仿宋_GB2312" w:hint="eastAsia"/>
          <w:sz w:val="32"/>
          <w:szCs w:val="32"/>
        </w:rPr>
        <w:lastRenderedPageBreak/>
        <w:t>生活服务中心的非建制镇。</w:t>
      </w:r>
    </w:p>
    <w:p w14:paraId="1FF1FB5F"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本条例所称村庄、集镇规划区，是指村庄、集镇建成区和因村庄、</w:t>
      </w:r>
      <w:r>
        <w:rPr>
          <w:rFonts w:ascii="仿宋_GB2312" w:eastAsia="仿宋_GB2312" w:hAnsi="仿宋_GB2312" w:cs="仿宋_GB2312" w:hint="eastAsia"/>
          <w:sz w:val="32"/>
          <w:szCs w:val="32"/>
        </w:rPr>
        <w:t>集镇建设及发展需要实行规划控制的区域。村庄、集镇规划区的具体范围，在村庄、集镇总体规划中划定。</w:t>
      </w:r>
    </w:p>
    <w:p w14:paraId="21452F79"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村庄、集镇规划建设管理，应当坚持合理布局、节约用地的原则，全面规划，正确引导，依靠群众，自力更生，因地制宜，量力而行，逐步建设，实现经济效益、社会效益和环境效益的统一。</w:t>
      </w:r>
    </w:p>
    <w:p w14:paraId="763B0521"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地处洪涝、地震、台风、滑坡等自然灾害易发地区的村庄和集镇，应当按照国家和地方的有关规定，在村庄、集镇总体规划中制定防灾措施。</w:t>
      </w:r>
    </w:p>
    <w:p w14:paraId="5140AA77"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国务院建设行政主管部门主管全国的村庄、集镇规划建设管理工作。</w:t>
      </w:r>
    </w:p>
    <w:p w14:paraId="38D86B3A"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县级以上地方人民政府建设行政主管部门主管本行政区域的村庄、集镇规划建设管理工作。</w:t>
      </w:r>
    </w:p>
    <w:p w14:paraId="61965B4C"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乡级人民政府负责本行政区域的村庄、集镇规划建设管理工作。</w:t>
      </w:r>
    </w:p>
    <w:p w14:paraId="60395A89"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国家鼓励村庄、集镇规划建设管理的科学研究，推广先进技术，提倡在村庄和集镇建设中，结合当地特点，采用新工艺、新材料、新结构。</w:t>
      </w:r>
    </w:p>
    <w:p w14:paraId="13531124" w14:textId="77777777" w:rsidR="00EE0481" w:rsidRDefault="00C33199">
      <w:pPr>
        <w:pStyle w:val="2"/>
      </w:pPr>
      <w:r>
        <w:lastRenderedPageBreak/>
        <w:t>第二章　村庄和集镇规划的制定</w:t>
      </w:r>
    </w:p>
    <w:p w14:paraId="74C53D9C"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村庄、集镇规划由乡级人民政府负责组织编制，并监督实施。</w:t>
      </w:r>
    </w:p>
    <w:p w14:paraId="4DD977F7"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村庄、集镇规划的编制，应当遵循下列原则：</w:t>
      </w:r>
    </w:p>
    <w:p w14:paraId="2ADC26F5"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根据国民经济和社会发展计划，结合当地经济发展的现状和要求，以及自然环境、资源条件和历史情况等，统筹兼顾，综合部署村庄和集镇的各项建设；</w:t>
      </w:r>
    </w:p>
    <w:p w14:paraId="5ACF51E1"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处理好近期建设与远景发展、改造与新建的关系，使村庄、集镇的性质和建设的规模、速度和标准，同经济发展和农民生活水平相适应；</w:t>
      </w:r>
    </w:p>
    <w:p w14:paraId="5E850C83"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合理用地，节约用地，各项建设应当相对集中，充分利用原有建设用地，新建、扩建工程及住宅应当尽量不占用耕地和林地；</w:t>
      </w:r>
    </w:p>
    <w:p w14:paraId="313DED62"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有利生产，方便生活，合理安排住宅、乡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村企业、乡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村公共设施和公益事</w:t>
      </w:r>
      <w:r>
        <w:rPr>
          <w:rFonts w:ascii="仿宋_GB2312" w:eastAsia="仿宋_GB2312" w:hAnsi="仿宋_GB2312" w:cs="仿宋_GB2312" w:hint="eastAsia"/>
          <w:sz w:val="32"/>
          <w:szCs w:val="32"/>
        </w:rPr>
        <w:t>业等的建设布局，促进农村各项事业协调发展，并适当留有发展余地；</w:t>
      </w:r>
    </w:p>
    <w:p w14:paraId="2FC8A2BE"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保护和改善生态环境，防治污染和其他公害，加强绿化和村容镇貌、环境卫生建设。</w:t>
      </w:r>
    </w:p>
    <w:p w14:paraId="3F181A35"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村庄、集镇规划的编制，应当以县域规划、农业区</w:t>
      </w:r>
      <w:r>
        <w:rPr>
          <w:rFonts w:ascii="Times New Roman" w:eastAsia="仿宋_GB2312" w:hAnsi="Times New Roman" w:cs="Times New Roman"/>
          <w:sz w:val="32"/>
          <w:szCs w:val="32"/>
        </w:rPr>
        <w:lastRenderedPageBreak/>
        <w:t>划、土地利用总体规划为依据，并同有关部门的专业规划相协调。</w:t>
      </w:r>
    </w:p>
    <w:p w14:paraId="1AB22C29"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县级人民政府组织编制的县域规划，应当包括村庄、集镇建设体系规划。</w:t>
      </w:r>
    </w:p>
    <w:p w14:paraId="4054F09E"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编制村庄、集镇规划，一般分为村庄、集镇总体规划和村庄、集镇建设规划两个阶段进行。</w:t>
      </w:r>
    </w:p>
    <w:p w14:paraId="159FC16E"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村庄、集镇总体规划，是乡级行政区域内村庄和集镇布点规划及相应的各项建设的整体部署。</w:t>
      </w:r>
    </w:p>
    <w:p w14:paraId="2CCC5F3F"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村</w:t>
      </w:r>
      <w:r>
        <w:rPr>
          <w:rFonts w:ascii="仿宋_GB2312" w:eastAsia="仿宋_GB2312" w:hAnsi="仿宋_GB2312" w:cs="仿宋_GB2312" w:hint="eastAsia"/>
          <w:sz w:val="32"/>
          <w:szCs w:val="32"/>
        </w:rPr>
        <w:t>庄、集镇总体规划的主要内容包括：乡级行政区域的村庄、集镇布点，村庄和集镇的位置、性质、规模和发展方向，村庄和集镇的交通、供水、供电、邮电、商业、绿化等生产和生活服务设施的配置。</w:t>
      </w:r>
    </w:p>
    <w:p w14:paraId="376EB5E6"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村庄、集镇建设规划，应当在村庄、集镇总体规划指导下，具体安排村庄、集镇的各项建设。</w:t>
      </w:r>
    </w:p>
    <w:p w14:paraId="2D45135F"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集镇建设规划的主要内容包括：住宅、乡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村企业、乡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村公共设施、公益事业等各项建设的用地布局、用地规模，有关的技术经济指标，近期建设工程以及重点地段建设具体安排。</w:t>
      </w:r>
    </w:p>
    <w:p w14:paraId="4E04DCAE"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村庄建设规划的主要内容，可以根据本地区经济发展水平，参照集镇建设规划的</w:t>
      </w:r>
      <w:r>
        <w:rPr>
          <w:rFonts w:ascii="仿宋_GB2312" w:eastAsia="仿宋_GB2312" w:hAnsi="仿宋_GB2312" w:cs="仿宋_GB2312" w:hint="eastAsia"/>
          <w:sz w:val="32"/>
          <w:szCs w:val="32"/>
        </w:rPr>
        <w:t>编制内容，主要对住宅和供水、供电、道路、绿化、环境卫生以及生产配套设施作出具体安排。</w:t>
      </w:r>
    </w:p>
    <w:p w14:paraId="2B92EFC1"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村庄、集镇总体规划和集镇建设规划，须经乡级</w:t>
      </w:r>
      <w:r>
        <w:rPr>
          <w:rFonts w:ascii="Times New Roman" w:eastAsia="仿宋_GB2312" w:hAnsi="Times New Roman" w:cs="Times New Roman"/>
          <w:sz w:val="32"/>
          <w:szCs w:val="32"/>
        </w:rPr>
        <w:lastRenderedPageBreak/>
        <w:t>人民代表大会审查同意，由乡级人民政府报县级人民政府批准。</w:t>
      </w:r>
    </w:p>
    <w:p w14:paraId="3F049236"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村庄建设规划，须经村民会议讨论同意，由乡级人民政府报县级人民政府批准。</w:t>
      </w:r>
    </w:p>
    <w:p w14:paraId="2D69E5F4"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根据社会经济发展需要，依照本条例第十四条的规定，经乡级人民代表大会或者村民会议同意，乡级人民政府可以对村庄、集镇规划进行局部调整，并报县级人民政府备案。涉及村庄、集镇的性质、规模、发展方向和总体布局重大变更的，依照本条例第十四条规定的</w:t>
      </w:r>
      <w:r>
        <w:rPr>
          <w:rFonts w:ascii="Times New Roman" w:eastAsia="仿宋_GB2312" w:hAnsi="Times New Roman" w:cs="Times New Roman"/>
          <w:sz w:val="32"/>
          <w:szCs w:val="32"/>
        </w:rPr>
        <w:t>程序办理。</w:t>
      </w:r>
    </w:p>
    <w:p w14:paraId="52A78E4B"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村庄、集镇规划期限，由省、自治区、直辖市人民政府根据本地区实际情况规定。</w:t>
      </w:r>
    </w:p>
    <w:p w14:paraId="010AA61F"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村庄、集镇规划经批准后，由乡级人民政府公布。</w:t>
      </w:r>
    </w:p>
    <w:p w14:paraId="1093A2B2" w14:textId="77777777" w:rsidR="00EE0481" w:rsidRDefault="00C33199">
      <w:pPr>
        <w:pStyle w:val="2"/>
      </w:pPr>
      <w:r>
        <w:t>第三章　村庄和集镇规划的实施</w:t>
      </w:r>
    </w:p>
    <w:p w14:paraId="0AD53952"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农村村民在村庄、集镇规划区内建住宅的，应当先向村集体经济组织或者村民委员会提出建房申请，经村民会议讨论通过后，按照下列审批程序办理：</w:t>
      </w:r>
    </w:p>
    <w:p w14:paraId="3104B5AD"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需要使用耕地的，经乡级人民政府审核、县级人民政府建设行政主管部门审查同意并出具选址意见书后，方可依照《土地管理法》向县级人民政府土地管理部门申请用地，经县级人民政府批准后，由县级人</w:t>
      </w:r>
      <w:r>
        <w:rPr>
          <w:rFonts w:ascii="Times New Roman" w:eastAsia="仿宋_GB2312" w:hAnsi="Times New Roman" w:cs="Times New Roman"/>
          <w:sz w:val="32"/>
          <w:szCs w:val="32"/>
        </w:rPr>
        <w:t>民政府土地管理部门划拨土地；</w:t>
      </w:r>
    </w:p>
    <w:p w14:paraId="1CBA767E"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使用原有宅基地、村内空闲地和其他土地的，由乡级人民政府根据村庄、集镇规划和土地利用规划批准。</w:t>
      </w:r>
    </w:p>
    <w:p w14:paraId="38608A4A"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城镇非农业户口居民在村庄、集镇规划区内需要使用集体所有的土地建住宅的，应当经其所在单位或者居民委员会同意后，依照前款第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项规定的审批程序办理。</w:t>
      </w:r>
    </w:p>
    <w:p w14:paraId="6AA61827"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回原籍村庄、集镇落户的职工、退伍军人和离休、退休干部以及回乡定居的华侨、港澳台同胞，在村庄、集镇规划区内需要使用集体所有的土地建住宅的，依照本条第一款第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项规定的审批程序办理。</w:t>
      </w:r>
    </w:p>
    <w:p w14:paraId="00F97B78"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兴建乡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村企业，必须持县级以上地方人民政府批准的设计任务书或者其他批准文件，向县级人民政府建设行政主管部门申请选址定点，县级人民政府建设行政主管部门审查同意并出具选址意见书后，建设单位方可依法向县级人民政府土地管理部门申请用地，经县级以上人民政府批准后，由土地管理部门划拨土地。</w:t>
      </w:r>
    </w:p>
    <w:p w14:paraId="7E026243"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村公共设施、公益事</w:t>
      </w:r>
      <w:r>
        <w:rPr>
          <w:rFonts w:ascii="Times New Roman" w:eastAsia="仿宋_GB2312" w:hAnsi="Times New Roman" w:cs="Times New Roman"/>
          <w:sz w:val="32"/>
          <w:szCs w:val="32"/>
        </w:rPr>
        <w:t>业建设，须经乡级人民政府审核、县级人民政府建设行政主管部门审查同意并出具选址意见书后，建设单位方可依法向县级人民政府土地管理部门申请用地，经县级以上人民政府批准后，由土地管理部门划拨土地。</w:t>
      </w:r>
    </w:p>
    <w:p w14:paraId="3C80A2F8" w14:textId="77777777" w:rsidR="00EE0481" w:rsidRDefault="00C33199">
      <w:pPr>
        <w:pStyle w:val="2"/>
      </w:pPr>
      <w:r>
        <w:lastRenderedPageBreak/>
        <w:t xml:space="preserve">第四章　村庄和集镇建设的设计、施工管理　</w:t>
      </w:r>
    </w:p>
    <w:p w14:paraId="2DF8E86D"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在村庄、集镇规划区内，凡建筑跨度、跨径或者高度超出规定范围的乡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村企业、乡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村公共设施和公益事业的建筑工程，以及二层</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含二层</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以上的住宅，必须由取得相应的设计资质证书的单位进行设计，或者选用通用设计、标准设计。</w:t>
      </w:r>
    </w:p>
    <w:p w14:paraId="40F95964" w14:textId="77777777" w:rsidR="00EE0481" w:rsidRDefault="00C33199">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跨度、跨径和高度的限定，由省、自治区、直辖市人民</w:t>
      </w:r>
      <w:r>
        <w:rPr>
          <w:rFonts w:ascii="仿宋_GB2312" w:eastAsia="仿宋_GB2312" w:hAnsi="仿宋_GB2312" w:cs="仿宋_GB2312" w:hint="eastAsia"/>
          <w:sz w:val="32"/>
          <w:szCs w:val="32"/>
        </w:rPr>
        <w:t>政府或者其授权的部门规定。</w:t>
      </w:r>
    </w:p>
    <w:p w14:paraId="38E72938"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建筑设计应当贯彻适用、经济、安全和美观的原则，符合国家和地方有关节约资源、抗御灾害的规定，保持地方特色和民族风格，并注意与周围环境相协调。</w:t>
      </w:r>
    </w:p>
    <w:p w14:paraId="172525A9"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农村居民住宅设计应当符合紧凑、合理、卫生和安全的要求。</w:t>
      </w:r>
    </w:p>
    <w:p w14:paraId="07226F7B"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承担村庄、集镇规划区内建筑工程施工任务的单位，必须具有相应的施工资质等级证书或者资质审查证书，并按照规定的经营范围承担施工任务。</w:t>
      </w:r>
    </w:p>
    <w:p w14:paraId="4F1B862B"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在村庄、集镇规划区内从事建筑施工的个体工匠，除承担房屋修缮外，须按有关规定办理施工资质审批手续。</w:t>
      </w:r>
    </w:p>
    <w:p w14:paraId="6DF6FA35"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施工单位应当按照设计图纸</w:t>
      </w:r>
      <w:r>
        <w:rPr>
          <w:rFonts w:ascii="Times New Roman" w:eastAsia="仿宋_GB2312" w:hAnsi="Times New Roman" w:cs="Times New Roman"/>
          <w:sz w:val="32"/>
          <w:szCs w:val="32"/>
        </w:rPr>
        <w:t>施工。任何单位和个人不得擅自修改设计图纸；确需修改的，须经原设计单位同意，</w:t>
      </w:r>
      <w:r>
        <w:rPr>
          <w:rFonts w:ascii="Times New Roman" w:eastAsia="仿宋_GB2312" w:hAnsi="Times New Roman" w:cs="Times New Roman"/>
          <w:sz w:val="32"/>
          <w:szCs w:val="32"/>
        </w:rPr>
        <w:lastRenderedPageBreak/>
        <w:t>并出具变更设计通知单或者图纸。</w:t>
      </w:r>
    </w:p>
    <w:p w14:paraId="36E9B43F"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施工单位应当确保施工质量，按照有关的技术规定施工，不得使用不符合工程质量要求的建筑材料和建筑构件。</w:t>
      </w:r>
    </w:p>
    <w:p w14:paraId="3EB4AB6E"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村企业、乡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村公共设施、公益事业等建设，在开工前，建设单位和个人应当向县级以上人民政府建设行政主管部门提出开工申请，经县级以上人民政府建设行政主管部门对设计、施工条件予以审查批准后，方可开工。</w:t>
      </w:r>
    </w:p>
    <w:p w14:paraId="34216CEF"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农村居民住宅建设开工的审批程序，由省、自治区、直辖市人民政府规定。</w:t>
      </w:r>
    </w:p>
    <w:p w14:paraId="015CDBBA"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县级人民政府建设行政主管部门，应当对村庄、集镇建设的施工质量进行监督检查。村庄、集镇的建设工程竣工后，应当按照国家的有关规定，经有关部门竣工验收合格后，方可交付使用。</w:t>
      </w:r>
    </w:p>
    <w:p w14:paraId="62662C4F" w14:textId="77777777" w:rsidR="00EE0481" w:rsidRDefault="00C33199">
      <w:pPr>
        <w:pStyle w:val="2"/>
      </w:pPr>
      <w:r>
        <w:t xml:space="preserve">第五章　房屋、公共设施、村容镇貌和环境卫生管理　</w:t>
      </w:r>
    </w:p>
    <w:p w14:paraId="04BEC652"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县级以上人民政府建设行政主管部门，应当加强对村庄、集镇房屋的产权、产籍的管理，依法保护房屋所有人对房屋的所有权。具体办法由国务院建设行政主管部门制定。</w:t>
      </w:r>
    </w:p>
    <w:p w14:paraId="25CADAC8"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任何单位和个人都应当遵守国家和地方有关</w:t>
      </w:r>
      <w:r>
        <w:rPr>
          <w:rFonts w:ascii="Times New Roman" w:eastAsia="仿宋_GB2312" w:hAnsi="Times New Roman" w:cs="Times New Roman"/>
          <w:sz w:val="32"/>
          <w:szCs w:val="32"/>
        </w:rPr>
        <w:lastRenderedPageBreak/>
        <w:t>村庄、集镇的房屋、公共设施的管理规定，保证房屋的使用安全和公共设施的正常使用</w:t>
      </w:r>
      <w:r>
        <w:rPr>
          <w:rFonts w:ascii="Times New Roman" w:eastAsia="仿宋_GB2312" w:hAnsi="Times New Roman" w:cs="Times New Roman"/>
          <w:sz w:val="32"/>
          <w:szCs w:val="32"/>
        </w:rPr>
        <w:t>，不得破坏或者损毁村庄、集镇的道路、桥梁、供水、排水、供电、邮电、绿化等设施。</w:t>
      </w:r>
    </w:p>
    <w:p w14:paraId="7237FDD3"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从集镇收取的城市维护建设税，应当用于集镇公共设施的维护和建设，不得挪作他用。</w:t>
      </w:r>
    </w:p>
    <w:p w14:paraId="69117951"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乡级人民政府应当采取措施，保护村庄、集镇饮用水源；有条件的地方，可以集中供水，使水质逐步达到国家规定的生活饮用水卫生标准。</w:t>
      </w:r>
    </w:p>
    <w:p w14:paraId="5E680765"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未经乡级人民政府批准，任何单位和个人不得擅自在村庄、集镇规划区内的街道、广场、市场和车站等场所修建临时建筑物、构筑物和其他设施。</w:t>
      </w:r>
    </w:p>
    <w:p w14:paraId="57F087E7"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任何单位和个人都应当维护村容镇貌和环境卫生，妥善处理粪</w:t>
      </w:r>
      <w:r>
        <w:rPr>
          <w:rFonts w:ascii="Times New Roman" w:eastAsia="仿宋_GB2312" w:hAnsi="Times New Roman" w:cs="Times New Roman"/>
          <w:sz w:val="32"/>
          <w:szCs w:val="32"/>
        </w:rPr>
        <w:t>堆、垃圾堆、柴草堆，养护树木花草，美化环境。</w:t>
      </w:r>
    </w:p>
    <w:p w14:paraId="419A9D6F"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任何单位和个人都有义务保护村庄、集镇内的文物古迹、古树名木和风景名胜、军事设施、防汛设施，以及国家邮电、通信、输变电、输油管道等设施，不得损坏。</w:t>
      </w:r>
    </w:p>
    <w:p w14:paraId="6396701B"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乡级人民政府应当按照国家有关规定，对村庄、集镇建设中形成的具有保存价值的文件、图纸、资料等及时整理归档。</w:t>
      </w:r>
    </w:p>
    <w:p w14:paraId="1D57B246" w14:textId="77777777" w:rsidR="00EE0481" w:rsidRDefault="00C33199">
      <w:pPr>
        <w:pStyle w:val="2"/>
      </w:pPr>
      <w:r>
        <w:lastRenderedPageBreak/>
        <w:t>第六章　罚则</w:t>
      </w:r>
    </w:p>
    <w:p w14:paraId="485EE193"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在村庄、集镇规划区内，未按规划审批程序批准而取得建设用地批准文件，占用土地的，批准文件无效，占用的土地由乡级以上人民政府责令退回。</w:t>
      </w:r>
    </w:p>
    <w:p w14:paraId="7B009C71"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在村庄、集镇规划区内，未按规划审批程序批准或者违反规划的规定进行建设，严重影响村庄、集镇规划的，由县级人民政府建设行政主管部门责令停止建设，限期拆除或者没收违法建筑物、构筑物和其他设施；影响村庄、集镇规划，尚可采取改正措施的，由县级人民政府建设行政主管部门责令限期改正，处以罚款。</w:t>
      </w:r>
    </w:p>
    <w:p w14:paraId="617E854C"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农村居民未经批准或者违反规划的规定建住宅的，乡级人民政府可以依照前款规定处罚。</w:t>
      </w:r>
    </w:p>
    <w:p w14:paraId="4DCCA454"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有下列行为之一的，由县级人民政府建设行政主管部门责令停止设计或者施工、限期改正，并可处以罚款：</w:t>
      </w:r>
    </w:p>
    <w:p w14:paraId="3EC8FDB0"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未取得设计资质证书，承担建筑跨度、跨径和高度超出规定范围的工程以及二层以上住宅的设计任务或者未按设计资质证书规定的经营范围，承担设计任务的；</w:t>
      </w:r>
    </w:p>
    <w:p w14:paraId="3FB9143E"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未取得施工资质等级证书或者资质审查证书或者未按规定的经营范围，承担施工任务的；</w:t>
      </w:r>
    </w:p>
    <w:p w14:paraId="3A4A570E"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不按有关技术规定施工或者使用不符合工程质量要求的建筑材料和建筑构件的；</w:t>
      </w:r>
    </w:p>
    <w:p w14:paraId="50FA8755"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未按设计图纸施工或者擅自修改设计图纸的。</w:t>
      </w:r>
    </w:p>
    <w:p w14:paraId="36269A27"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取得设计或者施工资质证书的勘察设计、施工单位，为无证单位</w:t>
      </w:r>
      <w:r>
        <w:rPr>
          <w:rFonts w:ascii="Times New Roman" w:eastAsia="仿宋_GB2312" w:hAnsi="Times New Roman" w:cs="Times New Roman"/>
          <w:sz w:val="32"/>
          <w:szCs w:val="32"/>
        </w:rPr>
        <w:t>提供资质证书，超过规定的经营范围，承担设计、施工任务或者设计、施工的质量不符合要求，情节严重的，由原发证机关吊销设计或者施工的资质证书。</w:t>
      </w:r>
    </w:p>
    <w:p w14:paraId="01F48E95"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有下列行为之一的，由乡级人民政府责令停止侵害，可以处以罚款；造成损失的，并应当赔偿：</w:t>
      </w:r>
    </w:p>
    <w:p w14:paraId="1E0E9763"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损坏村庄和集镇的房屋、公共设施的；</w:t>
      </w:r>
    </w:p>
    <w:p w14:paraId="30D27FB8"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乱堆粪便、垃圾、柴草，破坏村容镇貌和环境卫生的。</w:t>
      </w:r>
    </w:p>
    <w:p w14:paraId="167A7CA7"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擅自在村庄、集镇规划区内的街道、广场、市场和车站等场所修建临时建筑物、构筑物和其他设施的，由乡级人民政府责令限期拆除，并可处以罚款。</w:t>
      </w:r>
    </w:p>
    <w:p w14:paraId="740CDF18"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损坏村庄、集镇内的文物</w:t>
      </w:r>
      <w:r>
        <w:rPr>
          <w:rFonts w:ascii="Times New Roman" w:eastAsia="仿宋_GB2312" w:hAnsi="Times New Roman" w:cs="Times New Roman"/>
          <w:sz w:val="32"/>
          <w:szCs w:val="32"/>
        </w:rPr>
        <w:t>古迹、古树名木和风景名胜、军事设施、防汛设施，以及国家邮电、通信、输变电、输油管道等设施的，依照有关法律、法规的规定处罚。</w:t>
      </w:r>
    </w:p>
    <w:p w14:paraId="2CD7800D"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违反本条例，构成违反治安管理行为的，依照治安管理处罚条例的规定处罚；构成犯罪的，依法追究刑事责任。</w:t>
      </w:r>
    </w:p>
    <w:p w14:paraId="62582E97"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村庄、集镇建设管理人员玩忽职守、滥用职权、</w:t>
      </w:r>
      <w:r>
        <w:rPr>
          <w:rFonts w:ascii="Times New Roman" w:eastAsia="仿宋_GB2312" w:hAnsi="Times New Roman" w:cs="Times New Roman"/>
          <w:sz w:val="32"/>
          <w:szCs w:val="32"/>
        </w:rPr>
        <w:lastRenderedPageBreak/>
        <w:t>徇私舞弊的，由所在单位或者上级主管部门给予行政处分；构成犯罪的，依法追究刑事责任。</w:t>
      </w:r>
    </w:p>
    <w:p w14:paraId="6C0035B6" w14:textId="777DAE08"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当事人对行政处罚决定不服的，可以自接到处罚决定通知之日起</w:t>
      </w:r>
      <w:r w:rsidR="00A4041C">
        <w:rPr>
          <w:rFonts w:ascii="Times New Roman" w:eastAsia="仿宋_GB2312" w:hAnsi="Times New Roman" w:cs="Times New Roman" w:hint="eastAsia"/>
          <w:sz w:val="32"/>
          <w:szCs w:val="32"/>
        </w:rPr>
        <w:t>十五</w:t>
      </w:r>
      <w:r>
        <w:rPr>
          <w:rFonts w:ascii="Times New Roman" w:eastAsia="仿宋_GB2312" w:hAnsi="Times New Roman" w:cs="Times New Roman"/>
          <w:sz w:val="32"/>
          <w:szCs w:val="32"/>
        </w:rPr>
        <w:t>日内，向作出处罚决定机关的上一级机关申请复议；对复议决定不服的，可</w:t>
      </w:r>
      <w:r>
        <w:rPr>
          <w:rFonts w:ascii="Times New Roman" w:eastAsia="仿宋_GB2312" w:hAnsi="Times New Roman" w:cs="Times New Roman"/>
          <w:sz w:val="32"/>
          <w:szCs w:val="32"/>
        </w:rPr>
        <w:t>以自接到复议决定之日起</w:t>
      </w:r>
      <w:r w:rsidR="00A4041C">
        <w:rPr>
          <w:rFonts w:ascii="Times New Roman" w:eastAsia="仿宋_GB2312" w:hAnsi="Times New Roman" w:cs="Times New Roman" w:hint="eastAsia"/>
          <w:sz w:val="32"/>
          <w:szCs w:val="32"/>
        </w:rPr>
        <w:t>十五</w:t>
      </w:r>
      <w:r>
        <w:rPr>
          <w:rFonts w:ascii="Times New Roman" w:eastAsia="仿宋_GB2312" w:hAnsi="Times New Roman" w:cs="Times New Roman"/>
          <w:sz w:val="32"/>
          <w:szCs w:val="32"/>
        </w:rPr>
        <w:t>日内，向人民法院提起诉讼。当事人也可以自接到处罚决定通知之日起</w:t>
      </w:r>
      <w:r w:rsidR="00A4041C">
        <w:rPr>
          <w:rFonts w:ascii="Times New Roman" w:eastAsia="仿宋_GB2312" w:hAnsi="Times New Roman" w:cs="Times New Roman" w:hint="eastAsia"/>
          <w:sz w:val="32"/>
          <w:szCs w:val="32"/>
        </w:rPr>
        <w:t>十五</w:t>
      </w:r>
      <w:r>
        <w:rPr>
          <w:rFonts w:ascii="Times New Roman" w:eastAsia="仿宋_GB2312" w:hAnsi="Times New Roman" w:cs="Times New Roman"/>
          <w:sz w:val="32"/>
          <w:szCs w:val="32"/>
        </w:rPr>
        <w:t>日内，直接向人民法院起诉。当事人逾期不申请复议，也不向人民法院提起诉讼，又不履行处罚决定的，作出处罚决定的机关可以申请人民法院强制执行或者依法强制执行。</w:t>
      </w:r>
    </w:p>
    <w:p w14:paraId="5F1985AB" w14:textId="77777777" w:rsidR="00EE0481" w:rsidRDefault="00C33199">
      <w:pPr>
        <w:pStyle w:val="2"/>
      </w:pPr>
      <w:r>
        <w:t>第七章　附则</w:t>
      </w:r>
    </w:p>
    <w:p w14:paraId="7129E961"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未设镇建制的国营农场场部、国营林场场部及其基层居民点的规划建设管理，分别由国营农场、国营林场主管部门负责，参照本条例执行。</w:t>
      </w:r>
    </w:p>
    <w:p w14:paraId="6FEB1C88"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省、自治区、直辖市人民政府可以根据本条例制定实施办法。</w:t>
      </w:r>
    </w:p>
    <w:p w14:paraId="29B275A2"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本条例由国务院建设行政主管部门负责解</w:t>
      </w:r>
      <w:r>
        <w:rPr>
          <w:rFonts w:ascii="Times New Roman" w:eastAsia="仿宋_GB2312" w:hAnsi="Times New Roman" w:cs="Times New Roman"/>
          <w:sz w:val="32"/>
          <w:szCs w:val="32"/>
        </w:rPr>
        <w:t>释。</w:t>
      </w:r>
    </w:p>
    <w:p w14:paraId="3E5794CE" w14:textId="77777777" w:rsidR="00EE0481" w:rsidRDefault="00C3319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本条例自</w:t>
      </w:r>
      <w:r>
        <w:rPr>
          <w:rFonts w:ascii="Times New Roman" w:eastAsia="仿宋_GB2312" w:hAnsi="Times New Roman" w:cs="Times New Roman" w:hint="eastAsia"/>
          <w:sz w:val="32"/>
          <w:szCs w:val="32"/>
        </w:rPr>
        <w:t>一九九三</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十一</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日起施行。</w:t>
      </w:r>
    </w:p>
    <w:p w14:paraId="40F46B38" w14:textId="77777777" w:rsidR="00EE0481" w:rsidRDefault="00EE0481">
      <w:pPr>
        <w:ind w:firstLineChars="200" w:firstLine="420"/>
      </w:pPr>
    </w:p>
    <w:sectPr w:rsidR="00EE048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4B9E2C" w14:textId="77777777" w:rsidR="00C33199" w:rsidRDefault="00C33199">
      <w:r>
        <w:separator/>
      </w:r>
    </w:p>
  </w:endnote>
  <w:endnote w:type="continuationSeparator" w:id="0">
    <w:p w14:paraId="60671518" w14:textId="77777777" w:rsidR="00C33199" w:rsidRDefault="00C331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charset w:val="86"/>
    <w:family w:val="auto"/>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E9811D" w14:textId="77777777" w:rsidR="00EE0481" w:rsidRDefault="00C33199">
    <w:pPr>
      <w:pStyle w:val="a5"/>
    </w:pPr>
    <w:r>
      <w:rPr>
        <w:noProof/>
      </w:rPr>
      <mc:AlternateContent>
        <mc:Choice Requires="wps">
          <w:drawing>
            <wp:anchor distT="0" distB="0" distL="114300" distR="114300" simplePos="0" relativeHeight="251658240" behindDoc="0" locked="0" layoutInCell="1" allowOverlap="1" wp14:anchorId="5E88690F" wp14:editId="32333B98">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281F335" w14:textId="77777777" w:rsidR="00EE0481" w:rsidRDefault="00C33199">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5E88690F"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7281F335" w14:textId="77777777" w:rsidR="00EE0481" w:rsidRDefault="00C33199">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A09A46" w14:textId="77777777" w:rsidR="00C33199" w:rsidRDefault="00C33199">
      <w:r>
        <w:separator/>
      </w:r>
    </w:p>
  </w:footnote>
  <w:footnote w:type="continuationSeparator" w:id="0">
    <w:p w14:paraId="199C6755" w14:textId="77777777" w:rsidR="00C33199" w:rsidRDefault="00C3319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4041C"/>
    <w:rsid w:val="00A57CA4"/>
    <w:rsid w:val="00AA747A"/>
    <w:rsid w:val="00AC7BC9"/>
    <w:rsid w:val="00B15D96"/>
    <w:rsid w:val="00B31E84"/>
    <w:rsid w:val="00B9435F"/>
    <w:rsid w:val="00BC2466"/>
    <w:rsid w:val="00BC4671"/>
    <w:rsid w:val="00BD7AE1"/>
    <w:rsid w:val="00BE0B46"/>
    <w:rsid w:val="00C33199"/>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EE0481"/>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8213F7"/>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F044FF"/>
    <w:rsid w:val="26CA1A3A"/>
    <w:rsid w:val="27680A3B"/>
    <w:rsid w:val="2834230D"/>
    <w:rsid w:val="284A7424"/>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AC306C1"/>
    <w:rsid w:val="4D31223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75D4E2E"/>
    <w:rsid w:val="577F6B33"/>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AE018F"/>
    <w:rsid w:val="6DB87D30"/>
    <w:rsid w:val="6E804287"/>
    <w:rsid w:val="6EB30283"/>
    <w:rsid w:val="712B5699"/>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BED8A4"/>
  <w15:docId w15:val="{9C19921A-ACF1-4CA1-A5B8-0DE86947A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787</Words>
  <Characters>4486</Characters>
  <Application>Microsoft Office Word</Application>
  <DocSecurity>0</DocSecurity>
  <Lines>37</Lines>
  <Paragraphs>10</Paragraphs>
  <ScaleCrop>false</ScaleCrop>
  <Company/>
  <LinksUpToDate>false</LinksUpToDate>
  <CharactersWithSpaces>5263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2020-09-11T05:59:00Z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