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D8989">
      <w:pPr>
        <w:pStyle w:val="10"/>
        <w:ind w:firstLine="640" w:firstLineChars="200"/>
        <w:rPr>
          <w:rFonts w:ascii="Times New Roman" w:hAnsi="Times New Roman" w:eastAsia="仿宋_GB2312" w:cs="Times New Roman"/>
          <w:sz w:val="32"/>
          <w:szCs w:val="32"/>
        </w:rPr>
      </w:pPr>
    </w:p>
    <w:p w14:paraId="5412D569">
      <w:pPr>
        <w:pStyle w:val="10"/>
        <w:jc w:val="center"/>
        <w:rPr>
          <w:rFonts w:ascii="Times New Roman" w:hAnsi="Times New Roman" w:cs="Times New Roman"/>
          <w:sz w:val="32"/>
          <w:szCs w:val="32"/>
        </w:rPr>
      </w:pPr>
      <w:r>
        <w:rPr>
          <w:rFonts w:ascii="Times New Roman" w:hAnsi="Times New Roman" w:cs="Times New Roman"/>
          <w:sz w:val="44"/>
          <w:szCs w:val="44"/>
        </w:rPr>
        <w:t>中华人民共和国海上航行</w:t>
      </w:r>
      <w:bookmarkStart w:id="0" w:name="_GoBack"/>
      <w:bookmarkEnd w:id="0"/>
      <w:r>
        <w:rPr>
          <w:rFonts w:ascii="Times New Roman" w:hAnsi="Times New Roman" w:cs="Times New Roman"/>
          <w:sz w:val="44"/>
          <w:szCs w:val="44"/>
        </w:rPr>
        <w:t>警告和航行通告管理规定</w:t>
      </w:r>
    </w:p>
    <w:p w14:paraId="4C6975ED">
      <w:pPr>
        <w:pStyle w:val="10"/>
        <w:rPr>
          <w:rFonts w:ascii="Times New Roman" w:hAnsi="Times New Roman" w:cs="Times New Roman"/>
          <w:sz w:val="32"/>
          <w:szCs w:val="32"/>
        </w:rPr>
      </w:pPr>
    </w:p>
    <w:p w14:paraId="4245D755">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 xml:space="preserve">1992年12月22日国务院批准  </w:t>
      </w:r>
      <w:r>
        <w:rPr>
          <w:rFonts w:ascii="Times New Roman" w:hAnsi="Times New Roman" w:eastAsia="楷体_GB2312" w:cs="Times New Roman"/>
          <w:sz w:val="32"/>
          <w:szCs w:val="32"/>
        </w:rPr>
        <w:t>1993</w:t>
      </w:r>
      <w:r>
        <w:rPr>
          <w:rFonts w:ascii="Times New Roman" w:hAnsi="Times New Roman" w:eastAsia="楷体_GB2312" w:cs="Times New Roman"/>
          <w:spacing w:val="-6"/>
          <w:sz w:val="32"/>
          <w:szCs w:val="32"/>
        </w:rPr>
        <w:t>年1月11日交通部令第44号发布</w:t>
      </w:r>
      <w:r>
        <w:rPr>
          <w:rFonts w:ascii="Times New Roman" w:hAnsi="Times New Roman" w:eastAsia="楷体_GB2312" w:cs="Times New Roman"/>
          <w:sz w:val="32"/>
          <w:szCs w:val="32"/>
        </w:rPr>
        <w:t>)</w:t>
      </w:r>
    </w:p>
    <w:p w14:paraId="0F9D2308">
      <w:pPr>
        <w:pStyle w:val="10"/>
        <w:ind w:firstLine="640" w:firstLineChars="200"/>
        <w:rPr>
          <w:rFonts w:ascii="Times New Roman" w:hAnsi="Times New Roman" w:cs="Times New Roman"/>
          <w:sz w:val="32"/>
          <w:szCs w:val="32"/>
        </w:rPr>
      </w:pPr>
    </w:p>
    <w:p w14:paraId="1EEF219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为了加强海上航行警告和航行通告的管理，保障船舶、设施的航行和作业安全，根据《中华人民共和国海上交通安全法》有关规定，制定本规定。</w:t>
      </w:r>
    </w:p>
    <w:p w14:paraId="1B5D6D3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本规定适用于在中华人民共和国沿海水域从事影响或者可能影响海上交通安全的各种活动的船舶、设施和人员，以及负责发布海上航行警告、航行通告的有关单位和人员。</w:t>
      </w:r>
    </w:p>
    <w:p w14:paraId="74D00E5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中华人民共和国港务监督机构(以下简称国家主管机关)主管全国海上航行警告和航行通告的统一发布工作。</w:t>
      </w:r>
    </w:p>
    <w:p w14:paraId="264D56C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沿海水域港务监督机构(以下简称区域主管机关)主管本管辖区域内海上航行警告和航行通告的统一发布工作。</w:t>
      </w:r>
    </w:p>
    <w:p w14:paraId="250B953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沿海水域港务监督机构的管辖区域由国家主管机关确定。</w:t>
      </w:r>
    </w:p>
    <w:p w14:paraId="3561EC2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海上航行警告由国家主管机关或者其授权的机关以无线电报或者无线电话的形式发布。</w:t>
      </w:r>
    </w:p>
    <w:p w14:paraId="001F1C6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海上航行通告由国家主管机关或者区域主管机关以书面形式或者通过报纸、广播、电视等新闻媒介发布。</w:t>
      </w:r>
    </w:p>
    <w:p w14:paraId="386A2C6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在中华人民共和国沿海水域从事下列活动，必须事先向所涉及的海区的区域主管机关申请发布海上航行警告、航行通告：</w:t>
      </w:r>
    </w:p>
    <w:p w14:paraId="7E15D7B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(一)改变航道、航槽；</w:t>
      </w:r>
    </w:p>
    <w:p w14:paraId="7964738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(二)划定、改动或者撤销禁航区、抛泥区、水产养殖区、测速区、水上娱乐区；</w:t>
      </w:r>
    </w:p>
    <w:p w14:paraId="593B713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(三)设置或者撤除公用罗经标、消磁场；</w:t>
      </w:r>
    </w:p>
    <w:p w14:paraId="2E90662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(四)打捞沉船、沉物；</w:t>
      </w:r>
    </w:p>
    <w:p w14:paraId="04895FF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(五)铺设、撤除、检修电缆和管道；</w:t>
      </w:r>
    </w:p>
    <w:p w14:paraId="670E251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(六)设置、撤除系船浮筒及其他建筑物；</w:t>
      </w:r>
    </w:p>
    <w:p w14:paraId="7AB87C8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(七)设置、撤除用于海上勘探开发的设施和其安全区；</w:t>
      </w:r>
    </w:p>
    <w:p w14:paraId="5C3E64C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(八)从事扫海、疏浚、爆破、打桩、拔桩、起重、钻探等作业；</w:t>
      </w:r>
    </w:p>
    <w:p w14:paraId="20EA257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(九)进行使船舶航行能力受到限制的超长、超高、笨重拖带作业；</w:t>
      </w:r>
    </w:p>
    <w:p w14:paraId="37993403">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(十)进行有碍海上航行安全的海洋地质调查、勘探和水文测量；</w:t>
      </w:r>
    </w:p>
    <w:p w14:paraId="57F9D43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(十一)进行其他影响海上航行和作业安全的活动。</w:t>
      </w:r>
    </w:p>
    <w:p w14:paraId="5105E26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军事单位划定、改动或者撤销军事禁航区、军事训练区，由国家主管机关或者区域主管机关发布海上航行警告、航行通告。</w:t>
      </w:r>
    </w:p>
    <w:p w14:paraId="7FC54F3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组织或者从事本规定第五条第一款所列各项活动的单位，应当在活动开始之日的七天前向该项活动所涉及海区的区域主管机关递交发布海上航行警告、航行通告的书面申请。但是，有特殊情况，经区域主管机关认定，需要立即发布海上航行警告、航行通告的除外。从事本规定第五条第一款第(九)项所列活动的，依照本规定第七条执行。</w:t>
      </w:r>
    </w:p>
    <w:p w14:paraId="5B2ADB8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书面申请应当包括下列内容：</w:t>
      </w:r>
    </w:p>
    <w:p w14:paraId="47DE395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(一)活动起止日期和</w:t>
      </w:r>
      <w:r>
        <w:rPr>
          <w:rFonts w:hint="eastAsia" w:ascii="Times New Roman" w:hAnsi="Times New Roman" w:eastAsia="仿宋_GB2312" w:cs="Times New Roman"/>
          <w:sz w:val="32"/>
          <w:szCs w:val="32"/>
          <w:lang w:val="en-US" w:eastAsia="zh-CN"/>
        </w:rPr>
        <w:t>每</w:t>
      </w:r>
      <w:r>
        <w:rPr>
          <w:rFonts w:ascii="Times New Roman" w:hAnsi="Times New Roman" w:eastAsia="仿宋_GB2312" w:cs="Times New Roman"/>
          <w:sz w:val="32"/>
          <w:szCs w:val="32"/>
        </w:rPr>
        <w:t>日活动时间；</w:t>
      </w:r>
    </w:p>
    <w:p w14:paraId="206E92E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(二)活动内容和活动方式；</w:t>
      </w:r>
    </w:p>
    <w:p w14:paraId="22EE960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(三)参加活动的船舶、设施和单位的名称；</w:t>
      </w:r>
    </w:p>
    <w:p w14:paraId="7F3919A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(四)活动区域；</w:t>
      </w:r>
    </w:p>
    <w:p w14:paraId="6D5558F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(五)安全措施。</w:t>
      </w:r>
    </w:p>
    <w:p w14:paraId="5F0087C9">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船舶从事本规定第五条第(九)项所列活动的，应当在启拖开始之日的三天前向启拖地所在海区的区域主管机关递交发布海上航行警告、航行通告的书面申请。</w:t>
      </w:r>
    </w:p>
    <w:p w14:paraId="51C9D2E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书面申请应当包括下列内容：</w:t>
      </w:r>
    </w:p>
    <w:p w14:paraId="16E06B3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(一)拖船、被拖船或者被拖物的名称；</w:t>
      </w:r>
    </w:p>
    <w:p w14:paraId="7E9FF9D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(二)启拖时间；</w:t>
      </w:r>
    </w:p>
    <w:p w14:paraId="7BD6EA3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(三)启始位置、终到位置及主要转向点位置；</w:t>
      </w:r>
    </w:p>
    <w:p w14:paraId="396515F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(四)拖带总长度；</w:t>
      </w:r>
    </w:p>
    <w:p w14:paraId="426B077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(五)航速。</w:t>
      </w:r>
    </w:p>
    <w:p w14:paraId="149FF094">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海上航行警告、航行通告发布后，申请人必须在国家主管机关或者区域主管机关核准的时间和区域内进行活动；需要变更活动时间或者改换活动区域的，应当依照本规定，重新申请发布海上航行警告、航行通告。</w:t>
      </w:r>
    </w:p>
    <w:p w14:paraId="63D4E9A6">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船舶、设施在海上发现下列情形，应当尽快向就近的区域主管机关报告：</w:t>
      </w:r>
    </w:p>
    <w:p w14:paraId="5065A33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(一)航海图书上未载明的浅滩、礁石；</w:t>
      </w:r>
    </w:p>
    <w:p w14:paraId="45E1613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(二)异常磁区或者海水变色；</w:t>
      </w:r>
    </w:p>
    <w:p w14:paraId="65D3DC2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(三)沉船、沉物、危险物、碍航漂流物；</w:t>
      </w:r>
    </w:p>
    <w:p w14:paraId="14E8B5E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(四)助航标志或者导航设施变异、失常；</w:t>
      </w:r>
    </w:p>
    <w:p w14:paraId="072B2A2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(五)其他有碍海上航行安全的情形。</w:t>
      </w:r>
    </w:p>
    <w:p w14:paraId="260203C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报告内容应当包括：发现时间、地点和被发现物的状况。</w:t>
      </w:r>
    </w:p>
    <w:p w14:paraId="2FD1A01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区域主管机关收到有碍海上航行安全的报告或者发布海上航行警告、航行通告的申请后，应当立即核实有关资料，根据实际需要和接收范围，决定发布海上航行警告、航</w:t>
      </w:r>
      <w:r>
        <w:rPr>
          <w:rFonts w:hint="eastAsia" w:ascii="Times New Roman" w:hAnsi="Times New Roman" w:eastAsia="仿宋_GB2312" w:cs="Times New Roman"/>
          <w:sz w:val="32"/>
          <w:szCs w:val="32"/>
          <w:lang w:val="en-US" w:eastAsia="zh-CN"/>
        </w:rPr>
        <w:t>行</w:t>
      </w:r>
      <w:r>
        <w:rPr>
          <w:rFonts w:ascii="Times New Roman" w:hAnsi="Times New Roman" w:eastAsia="仿宋_GB2312" w:cs="Times New Roman"/>
          <w:sz w:val="32"/>
          <w:szCs w:val="32"/>
        </w:rPr>
        <w:t>通告。</w:t>
      </w:r>
    </w:p>
    <w:p w14:paraId="2987C39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区域主管机关对本管辖区域内的下列情形，应当发布海上航行警告、航行通告：</w:t>
      </w:r>
    </w:p>
    <w:p w14:paraId="5A3107D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(一)设置、调整或者撤销锚地；</w:t>
      </w:r>
    </w:p>
    <w:p w14:paraId="41E6C5E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(二)设置或者撤销海难救助区、防污作业区、海上作业重大事故区；</w:t>
      </w:r>
    </w:p>
    <w:p w14:paraId="377F04B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(三)设置、变更或者撤销分道通航制；</w:t>
      </w:r>
    </w:p>
    <w:p w14:paraId="77FBB42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(四)设置、撤除、改建、变更或者恢复助航标志和导航设施；</w:t>
      </w:r>
    </w:p>
    <w:p w14:paraId="24D5D22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(五)其他有碍海上航行和作业安全的情形。</w:t>
      </w:r>
    </w:p>
    <w:p w14:paraId="1E03289E">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国家主管机关或者区域主管机关在发布海上航行警告、航行通告以及收到本规定第九条规定的各项报告时，应当及时向海军航海保证部门提供有关资料并通报有关情况。</w:t>
      </w:r>
    </w:p>
    <w:p w14:paraId="71E73739">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海岸电台负责并按照规定的时间、频率和要求播发海上航行警告。播发的程序和办法由国务院交通主管部门另行制定。</w:t>
      </w:r>
    </w:p>
    <w:p w14:paraId="49DD351A">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船舶、设施的有关人员必须按照规定抄收海岸电台播发的海上航行警告。</w:t>
      </w:r>
    </w:p>
    <w:p w14:paraId="60987E8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有关单位收到海上航行通告后，必须采取有效手段，及时通知所属船舶、设施。</w:t>
      </w:r>
    </w:p>
    <w:p w14:paraId="656BFE8C">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对于执行本规定做出显著成绩的单位和个人，由国家主管机关或者区域主管机关给予奖励。</w:t>
      </w:r>
    </w:p>
    <w:p w14:paraId="195AB976">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违反本规定第五条第一款、第八条规定的，由国家主管机关或者区域主管机关责令其停止活动，并可以处二千元以下罚款。</w:t>
      </w:r>
    </w:p>
    <w:p w14:paraId="347B49C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未依照本规定第六条、第七条规定的时间申请发布海上航行警告、航行通告的，国家主管机关或者区域主管机关可以给予警告，可以并处八百元以下罚款。</w:t>
      </w:r>
    </w:p>
    <w:p w14:paraId="053CEEE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对违反本规定第十四条规定的责任人员，根据情节，国家主管机关或者区域主管机关可以给予警告、扣留职务证书或者吊销职务证书。</w:t>
      </w:r>
    </w:p>
    <w:p w14:paraId="7B6FCF5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违反本规定，造成海上交通事故的，除依法承担民事赔偿责任外，国家主管机关或者区域主管机关可以根据情节给予罚款、扣留职务证书或者吊销职务证书；构成犯罪的，依法追究刑事责任。</w:t>
      </w:r>
    </w:p>
    <w:p w14:paraId="4812510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当事人对罚款、扣留职务证书或者吊销职务证书的处罚决定不服的，可以自接到处罚决定通知之日起十五日内向中华人民共和国港务监督机构申请复议，也可以直接向人民法院提起诉讼；期满不申请复议也不提起诉讼又不履行的，作出处罚决定的主管机关可以申请人民法院强制执行。</w:t>
      </w:r>
    </w:p>
    <w:p w14:paraId="05A3EBD4">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在渔港水域内新建、改建、扩建各种设施或者进行其他施工作业，由渔政渔港监督管理机关根据本规定和国家其他有关规定发布海上航行通告。</w:t>
      </w:r>
    </w:p>
    <w:p w14:paraId="0ACA368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军事单位涉及海上航行警告、航行通告事宜的管理办法。根据《中华人民共和国海上交通安全法》有关规定，另行制定。</w:t>
      </w:r>
    </w:p>
    <w:p w14:paraId="6C22B78D">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本规定由交通部负责解释。</w:t>
      </w:r>
    </w:p>
    <w:p w14:paraId="291232ED">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本规定自一九九三年二月一日起施行。</w:t>
      </w:r>
    </w:p>
    <w:p w14:paraId="294A6B28">
      <w:pPr>
        <w:pStyle w:val="10"/>
        <w:ind w:firstLine="640" w:firstLineChars="200"/>
        <w:rPr>
          <w:rFonts w:ascii="Times New Roman" w:hAnsi="Times New Roman" w:eastAsia="仿宋_GB2312" w:cs="Times New Roman"/>
          <w:sz w:val="32"/>
          <w:szCs w:val="32"/>
        </w:rPr>
      </w:pPr>
    </w:p>
    <w:p w14:paraId="719D5313">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C258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B233CB5">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14:paraId="5B233CB5">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C8D1C10"/>
    <w:rsid w:val="0D3C4224"/>
    <w:rsid w:val="0D610029"/>
    <w:rsid w:val="0DFE10B9"/>
    <w:rsid w:val="10A47D69"/>
    <w:rsid w:val="134A1994"/>
    <w:rsid w:val="142327B5"/>
    <w:rsid w:val="14292D92"/>
    <w:rsid w:val="14484CDF"/>
    <w:rsid w:val="155E2CB3"/>
    <w:rsid w:val="18413C16"/>
    <w:rsid w:val="198A0A54"/>
    <w:rsid w:val="19DB6C33"/>
    <w:rsid w:val="1C571842"/>
    <w:rsid w:val="1C9212F7"/>
    <w:rsid w:val="20255D20"/>
    <w:rsid w:val="20B41BC5"/>
    <w:rsid w:val="20D86240"/>
    <w:rsid w:val="21CE0F2E"/>
    <w:rsid w:val="22DD4281"/>
    <w:rsid w:val="25F044FF"/>
    <w:rsid w:val="26CA1A3A"/>
    <w:rsid w:val="27680A3B"/>
    <w:rsid w:val="28F8723D"/>
    <w:rsid w:val="29395EE3"/>
    <w:rsid w:val="2B01664D"/>
    <w:rsid w:val="2D644059"/>
    <w:rsid w:val="2D833D18"/>
    <w:rsid w:val="2DBE0D65"/>
    <w:rsid w:val="2E1B43B4"/>
    <w:rsid w:val="2ED32E01"/>
    <w:rsid w:val="2FF20DF5"/>
    <w:rsid w:val="318138A8"/>
    <w:rsid w:val="32252208"/>
    <w:rsid w:val="33CF5811"/>
    <w:rsid w:val="355C6A64"/>
    <w:rsid w:val="386D21AD"/>
    <w:rsid w:val="39A70352"/>
    <w:rsid w:val="3A7915E5"/>
    <w:rsid w:val="3B1265AF"/>
    <w:rsid w:val="3BA0652C"/>
    <w:rsid w:val="3CA23060"/>
    <w:rsid w:val="3CDF39C7"/>
    <w:rsid w:val="3D762392"/>
    <w:rsid w:val="3E3675FB"/>
    <w:rsid w:val="3F800236"/>
    <w:rsid w:val="3F8C783C"/>
    <w:rsid w:val="40C91325"/>
    <w:rsid w:val="40DC5AC3"/>
    <w:rsid w:val="40F66CF8"/>
    <w:rsid w:val="40FE47B4"/>
    <w:rsid w:val="41B857FD"/>
    <w:rsid w:val="4361706F"/>
    <w:rsid w:val="43CA1521"/>
    <w:rsid w:val="444B0E8A"/>
    <w:rsid w:val="46E604C4"/>
    <w:rsid w:val="47A250A3"/>
    <w:rsid w:val="4DC87E21"/>
    <w:rsid w:val="4EDF3D2B"/>
    <w:rsid w:val="4EED79F5"/>
    <w:rsid w:val="50265D80"/>
    <w:rsid w:val="5080370D"/>
    <w:rsid w:val="523F45D1"/>
    <w:rsid w:val="529D4C7B"/>
    <w:rsid w:val="53BF5C69"/>
    <w:rsid w:val="53DA0A43"/>
    <w:rsid w:val="575D4E2E"/>
    <w:rsid w:val="58035B31"/>
    <w:rsid w:val="58F6185E"/>
    <w:rsid w:val="591257DC"/>
    <w:rsid w:val="594A0251"/>
    <w:rsid w:val="5A8A0A10"/>
    <w:rsid w:val="5A9D1C4D"/>
    <w:rsid w:val="5CBC32F4"/>
    <w:rsid w:val="5DB22BFD"/>
    <w:rsid w:val="5DD739B2"/>
    <w:rsid w:val="5E900D37"/>
    <w:rsid w:val="5F5011B7"/>
    <w:rsid w:val="5F88093C"/>
    <w:rsid w:val="60492E1B"/>
    <w:rsid w:val="60B60A66"/>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2B42A44"/>
    <w:rsid w:val="746D1278"/>
    <w:rsid w:val="762C29D0"/>
    <w:rsid w:val="769B60FD"/>
    <w:rsid w:val="76C10F77"/>
    <w:rsid w:val="77D8678E"/>
    <w:rsid w:val="7814798C"/>
    <w:rsid w:val="7819740D"/>
    <w:rsid w:val="78976606"/>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2448</Words>
  <Characters>2459</Characters>
  <Lines>12</Lines>
  <Paragraphs>3</Paragraphs>
  <TotalTime>0</TotalTime>
  <ScaleCrop>false</ScaleCrop>
  <LinksUpToDate>false</LinksUpToDate>
  <CharactersWithSpaces>2486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2026-07-16T07:36:24Z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EFDF8A78C4A440DA8E4A8A65688FC7C9_12</vt:lpwstr>
  </property>
</Properties>
</file>