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hint="eastAsia" w:ascii="Times New Roman" w:hAnsi="Times New Roman" w:cs="Times New Roman"/>
          <w:sz w:val="44"/>
          <w:szCs w:val="44"/>
        </w:rPr>
      </w:pPr>
    </w:p>
    <w:p>
      <w:pPr>
        <w:pStyle w:val="10"/>
        <w:jc w:val="center"/>
        <w:rPr>
          <w:rFonts w:ascii="Times New Roman" w:hAnsi="Times New Roman" w:cs="Times New Roman"/>
          <w:sz w:val="44"/>
          <w:szCs w:val="44"/>
        </w:rPr>
      </w:pPr>
      <w:r>
        <w:rPr>
          <w:rFonts w:ascii="Times New Roman" w:hAnsi="Times New Roman" w:cs="Times New Roman"/>
          <w:sz w:val="44"/>
          <w:szCs w:val="44"/>
        </w:rPr>
        <w:t>公路安全保护条例</w:t>
      </w:r>
    </w:p>
    <w:p>
      <w:pPr>
        <w:pStyle w:val="10"/>
        <w:ind w:firstLine="640" w:firstLineChars="200"/>
        <w:rPr>
          <w:rFonts w:hint="eastAsia" w:ascii="Times New Roman" w:hAnsi="Times New Roman" w:eastAsia="楷体_GB2312" w:cs="Times New Roman"/>
          <w:sz w:val="32"/>
          <w:szCs w:val="32"/>
        </w:rPr>
      </w:pPr>
    </w:p>
    <w:p>
      <w:pPr>
        <w:pStyle w:val="10"/>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(2011年2月16日国务院第144次常务会议通过　2011年3月7日中华人民共和国国务院令第593号公布　自2011年7月1日起施行)</w:t>
      </w:r>
    </w:p>
    <w:p>
      <w:pPr>
        <w:pStyle w:val="3"/>
        <w:rPr>
          <w:rFonts w:ascii="方正黑体_GBK"/>
        </w:rPr>
      </w:pPr>
      <w:r>
        <w:rPr>
          <w:rFonts w:hint="eastAsia" w:ascii="方正黑体_GBK" w:hAnsi="Times New Roman" w:cs="Times New Roman"/>
        </w:rPr>
        <w:t>第一章　总</w:t>
      </w:r>
      <w:bookmarkStart w:id="0" w:name="_GoBack"/>
      <w:bookmarkEnd w:id="0"/>
      <w:r>
        <w:rPr>
          <w:rFonts w:hint="eastAsia" w:ascii="方正黑体_GBK" w:hAnsi="Times New Roman" w:cs="Times New Roman"/>
        </w:rPr>
        <w:t>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为了加强公路保护，保障公路完好、安全和畅通，根据《中华人民共和国公路法》，制定本条例。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各级人民政府应当加强对公路保护工作的领导，依法履行公路保护职责。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国务院交通运输主管部门主管全国公路保护工作。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县级以上地方人民政府交通运输主管部门主管本行政区域的公路保护工作；但是，县级以上地方人民政府交通运输主管部门对国道、省道的保护职责，由省、自治区、直辖市人民政府确定。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公路管理机构依照本条例的规定具体负责公路保护的监督管理工作。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县级以上各级人民政府发展改革、工业和信息化、公安、工商、质检等部门按照职责分工，依法开展公路保护的相关工作。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县级以上各级人民政府应当将政府及其有关部门从事公路管理、养护所需经费以及公路管理机构行使公路行政管理职能所需经费纳入本级人民政府财政预算。但是，专用公路的公路保护经费除外。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县级以上各级人民政府交通运输主管部门应当综合考虑国家有关车辆技术标准、公路使用状况等因素，逐步提高公路建设、管理和养护水平，努力满足国民经济和社会发展以及人民群众生产、生活需要。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县级以上各级人民政府交通运输主管部门应当依照《中华人民共和国突发事件应对法》的规定，制定地震、泥石流、雨雪冰冻灾害等损毁公路的突发事件(以下简称公路突发事件)应急预案，报本级人民政府批准后实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公路管理机构、公路经营企业应当根据交通运输主管部门制定的公路突发事件应急预案，组建应急队伍，并定期组织应急演练。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国家建立健全公路突发事件应急物资储备保障制度，完善应急物资储备、调配体系，确保发生公路突发事件时能够满足应急处置工作的需要。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任何单位和个人不得破坏、损坏、非法占用或者非法利用公路、公路用地和公路附属设施。</w:t>
      </w:r>
    </w:p>
    <w:p>
      <w:pPr>
        <w:pStyle w:val="3"/>
        <w:rPr>
          <w:rFonts w:ascii="方正黑体_GBK"/>
        </w:rPr>
      </w:pPr>
      <w:r>
        <w:rPr>
          <w:rFonts w:hint="eastAsia" w:ascii="方正黑体_GBK" w:hAnsi="Times New Roman" w:cs="Times New Roman"/>
        </w:rPr>
        <w:t>第二章　公路线路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公路管理机构应当建立健全公路管理档案，对公路、公路用地和公路附属设施调查核实、登记造册。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县级以上地方人民政府应当根据保障公路运行安全和节约用地的原则以及公路发展的需要，组织交通运输、国土资源等部门划定公路建筑控制区的范围。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公路建筑控制区的范围，从公路用地外缘起向外的距离标准为：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(一)国道不少于20米；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(二)省道不少于15米；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(三)县道不少于10米；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(四)乡道不少于5米。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属于高速公路的，公路建筑控制区的范围从公路用地外缘起向外的距离标准不少于30米。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公路弯道内侧、互通立交以及平面交叉道口的建筑控制区范围根据安全视距等要求确定。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新建、改建公路的建筑控制区的范围，应当自公路初步设计批准之日起30日内，由公路沿线县级以上地方人民政府依照本条例划定并公告。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公路建筑控制区与铁路线路安全保护区、航道保护范围、河道管理范围或者水工程管理和保护范围重叠的，经公路管理机构和铁路管理机构、航道管理机构、水行政主管部门或者流域管理机构协商后划定。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在公路建筑控制区内，除公路保护需要外，禁止修建建筑物和地面构筑物；公路建筑控制区划定前已经合法修建的不得扩建，因公路建设或者保障公路运行安全等原因需要拆除的应当依法给予补偿。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在公路建筑控制区外修建的建筑物、地面构筑物以及其他设施不得遮挡公路标志，不得妨碍安全视距。</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新建村镇、开发区、学校和货物集散地、大型商业网点、农贸市场等公共场所，与公路建筑控制区边界外缘的距离应当符合下列标准，并尽可能在公路一侧建设：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(一)国道、省道不少于50米；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(二)县道、乡道不少于20米。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新建、改建公路与既有城市道路、铁路、通信等线路交叉或者新建、改建城市道路、铁路、通信等线路与既有公路交叉的，建设费用由新建、改建单位承担；城市道路、铁路、通信等线路的管理部门、单位或者公路管理机构要求提高既有建设标准而增加的费用，由提出要求的部门或者单位承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需要改变既有公路与城市道路、铁路、通信等线路交叉方式的，按照公平合理的原则分担建设费用。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禁止将公路作为检验车辆制动性能的试车场地。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在公路、公路用地范围内摆摊设点、堆放物品、倾倒垃圾、设置障碍、挖沟引水、打场晒粮、种植作物、放养牲畜、采石、取土、采空作业、焚烧物品、利用公路边沟排放污物或者进行其他损坏、污染公路和影响公路畅通的行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禁止在下列范围内从事采矿、采石、取土、爆破作业等危及公路、公路桥梁、公路隧道、公路渡口安全的活动：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(一)国道、省道、县道的公路用地外缘起向外100米，乡道的公路用地外缘起向外50米；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(二)公路渡口和中型以上公路桥梁周围200米；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(三)公路隧道上方和洞口外100米。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在前款规定的范围内，因抢险、防汛需要修筑堤坝、压缩或者拓宽河床的，应当经省、自治区、直辖市人民政府交通运输主管部门会同水行政主管部门或者流域管理机构批准，并采取安全防护措施方可进行。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除按照国家有关规定设立的为车辆补充燃料的场所、设施外，禁止在下列范围内设立生产、储存、销售易燃、易爆、剧毒、放射性等危险物品的场所、设施：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(一)公路用地外缘起向外100米；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(二)公路渡口和中型以上公路桥梁周围200米；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(三)公路隧道上方和洞口外100米。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禁止擅自在中型以上公路桥梁跨越的河道上下游各1000米范围内抽取地下水、架设浮桥以及修建其他危及公路桥梁安全的设施。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在前款规定的范围内，确需进行抽取地下水、架设浮桥等活动的，应当经水行政主管部门、流域管理机构等有关单位会同公路管理机构批准，并采取安全防护措施方可进行。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禁止在公路桥梁跨越的河道上下游的下列范围内采砂：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(一)特大型公路桥梁跨越的河道上游500米，下游3000米；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(二)大型公路桥梁跨越的河道上游500米，下游2000米；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(三)中小型公路桥梁跨越的河道上游500米，下游1000米。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在公路桥梁跨越的河道上下游各500米范围内依法进行疏浚作业的，应当符合公路桥梁安全要求，经公路管理机构确认安全方可作业。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禁止利用公路桥梁进行牵拉、吊装等危及公路桥梁安全的施工作业。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禁止利用公路桥梁(含桥下空间)、公路隧道、涵洞堆放物品，搭建设施以及铺设高压电线和输送易燃、易爆或者其他有毒有害气体、液体的管道。</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公路桥梁跨越航道的，建设单位应当按照国家有关规定设置桥梁航标、桥柱标、桥梁水尺标，并按照国家标准、行业标准设置桥区水上航标和桥墩防撞装置。桥区水上航标由航标管理机构负责维护。</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通过公路桥梁的船舶应当符合公路桥梁通航净空要求，严格遵守航行规则，不得在公路桥梁下停泊或者系缆。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重要的公路桥梁和公路隧道按照《中华人民共和国人民武装警察法》和国务院、中央军委的有关规定由中国人民武装警察部队守护。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禁止损坏、擅自移动、涂改、遮挡公路附属设施或者利用公路附属设施架设管道、悬挂物品。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禁止破坏公路、公路用地范围内的绿化物。需要更新采伐护路林的，应当向公路管理机构提出申请，经批准方可更新采伐，并及时补种；不能及时补种的，应当交纳补种所需费用，由公路管理机构代为补种。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进行下列涉路施工活动，建设单位应当向公路管理机构提出申请：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(一)因修建铁路、机场、供电、水利、通信等建设工程需要占用、挖掘公路、公路用地或者使公路改线；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(二)跨越、穿越公路修建桥梁、渡槽或者架设、埋设管道、电缆等设施；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(三)在公路用地范围内架设、埋设管道、电缆等设施；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(四)利用公路桥梁、公路隧道、涵洞铺设电缆等设施；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(五)利用跨越公路的设施悬挂非公路标志；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(六)在公路上增设或者改造平面交叉道口；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(七)在公路建筑控制区内埋设管道、电缆等设施。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申请进行涉路施工活动的建设单位应当向公路管理机构提交下列材料：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(一)符合有关技术标准、规范要求的设计和施工方案；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(二)保障公路、公路附属设施质量和安全的技术评价报告；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(三)处置施工险情和意外事故的应急方案。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路管理机构应当自受理申请之日起20日内作出许可或者不予许可的决定；影响交通安全的，应当征得公安机关交通管理部门的同意；涉及经营性公路的，应当征求公路经营企业的意见；不予许可的，公路管理机构应当书面通知申请人并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建设单位应当按照许可的设计和施工方案进行施工作业，并落实保障公路、公路附属设施质量和安全的防护措施。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涉路施工完毕，公路管理机构应当对公路、公路附属设施是否达到规定的技术标准以及施工是否符合保障公路、公路附属设施质量和安全的要求进行验收；影响交通安全的，还应当经公安机关交通管理部门验收。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涉路工程设施的所有人、管理人应当加强维护和管理，确保工程设施不影响公路的完好、安全和畅通。</w:t>
      </w:r>
    </w:p>
    <w:p>
      <w:pPr>
        <w:pStyle w:val="3"/>
        <w:rPr>
          <w:rFonts w:ascii="方正黑体_GBK"/>
        </w:rPr>
      </w:pPr>
      <w:r>
        <w:rPr>
          <w:rFonts w:hint="eastAsia" w:ascii="方正黑体_GBK" w:hAnsi="Times New Roman" w:cs="Times New Roman"/>
        </w:rPr>
        <w:t>第三章　公路通行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车辆的外廓尺寸、轴荷和总质量应当符合国家有关车辆外廓尺寸、轴荷、质量限值等机动车安全技术标准，不符合标准的不得生产、销售。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公安机关交通管理部门办理车辆登记，应当当场查验，对不符合机动车国家安全技术标准的车辆不予登记。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运输不可解体物品需要改装车辆的，应当由具有相应资质的车辆生产企业按照规定的车型和技术参数进行改装。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超过公路、公路桥梁、公路隧道限载、限高、限宽、限长标准的车辆，不得在公路、公路桥梁或者公路隧道行驶；超过汽车渡船限载、限高、限宽、限长标准的车辆，不得使用汽车渡船。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公路、公路桥梁、公路隧道限载、限高、限宽、限长标准调整的，公路管理机构、公路经营企业应当及时变更限载、限高、限宽、限长标志；需要绕行的，还应当标明绕行路线。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县级人民政府交通运输主管部门或者乡级人民政府可以根据保护乡道、村道的需要，在乡道、村道的出入口设置必要的限高、限宽设施，但是不得影响消防和卫生急救等应急通行需要，不得向通行车辆收费。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车辆载运不可解体物品，车货总体的外廓尺寸或者总质量超过公路、公路桥梁、公路隧道的限载、限高、限宽、限长标准，确需在公路、公路桥梁、公路隧道行驶的，从事运输的单位和个人应当向公路管理机构申请公路超限运输许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申请公路超限运输许可按照下列规定办理：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跨省、自治区、直辖市进行超限运输的，向公路沿线各省、自治区、直辖市公路管理机构提出申请，由起运地省、自治区、直辖市公路管理机构统一受理，并协调公路沿线各省、自治区、直辖市公路管理机构对超限运输申请进行审批，必要时可以由国务院交通运输主管部门统一协调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(二)在省、自治区范围内跨设区的市进行超限运输，或者在直辖市范围内跨区、县进行超限运输的，向省、自治区、直辖市公路管理机构提出申请，由省、自治区、直辖市公路管理机构受理并审批；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(三)在设区的市范围内跨区、县进行超限运输的，向设区的市公路管理机构提出申请，由设区的市公路管理机构受理并审批；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(四)在区、县范围内进行超限运输的，向区、县公路管理机构提出申请，由区、县公路管理机构受理并审批。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公路超限运输影响交通安全的，公路管理机构在审批超限运输申请时，应当征求公安机关交通管理部门意见。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公路管理机构审批超限运输申请，应当根据实际情况勘测通行路线，需要采取加固、改造措施的，可以与申请人签订有关协议，制定相应的加固、改造方案。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公路管理机构应当根据其制定的加固、改造方案，对通行的公路桥梁、涵洞等设施进行加固、改造；必要时应当对超限运输车辆进行监管。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公路管理机构批准超限运输申请的，应当为超限运输车辆配发国务院交通运输主管部门规定式样的超限运输车辆通行证。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经批准进行超限运输的车辆，应当随车携带超限运输车辆通行证，按照指定的时间、路线和速度行驶，并悬挂明显标志。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禁止租借、转让超限运输车辆通行证。禁止使用伪造、变造的超限运输车辆通行证。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经省、自治区、直辖市人民政府批准，有关交通运输主管部门可以设立固定超限检测站点，配备必要的设备和人员。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固定超限检测站点应当规范执法，并公布监督电话。公路管理机构应当加强对固定超限检测站点的管理。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公路管理机构在监督检查中发现车辆超过公路、公路桥梁、公路隧道或者汽车渡船的限载、限高、限宽、限长标准的，应当就近引导至固定超限检测站点进行处理。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车辆应当按照超限检测指示标志或者公路管理机构监督检查人员的指挥接受超限检测，不得故意堵塞固定超限检测站点通行车道、强行通过固定超限检测站点或者以其他方式扰乱超限检测秩序，不得采取短途驳载等方式逃避超限检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禁止通过引路绕行等方式为不符合国家有关载运标准的车辆逃避超限检测提供便利。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煤炭、水泥等货物集散地以及货运站等场所的经营人、管理人应当采取有效措施，防止不符合国家有关载运标准的车辆出场(站)。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道路运输管理机构应当加强对煤炭、水泥等货物集散地以及货运站等场所的监督检查，制止不符合国家有关载运标准的车辆出场(站)。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任何单位和个人不得指使、强令车辆驾驶人超限运输货物，不得阻碍道路运输管理机构依法进行监督检查。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载运易燃、易爆、剧毒、放射性等危险物品的车辆，应当符合国家有关安全管理规定，并避免通过特大型公路桥梁或者特长公路隧道；确需通过特大型公路桥梁或者特长公路隧道的，负责审批易燃、易爆、剧毒、放射性等危险物品运输许可的机关应当提前将行驶时间、路线通知特大型公路桥梁或者特长公路隧道的管理单位，并对在特大型公路桥梁或者特长公路隧道行驶的车辆进行现场监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车辆应当规范装载，装载物不得触地拖行。车辆装载物易掉落、遗洒或者飘散的，应当采取厢式密闭等有效防护措施方可在公路上行驶。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路上行驶车辆的装载物掉落、遗洒或者飘散的，车辆驾驶人、押运人员应当及时采取措施处理；无法处理的，应当在掉落、遗洒或者飘散物来车方向适当距离外设置警示标志，并迅速报告公路管理机构或者公安机关交通管理部门。其他人员发现公路上有影响交通安全的障碍物的，也应当及时报告公路管理机构或者公安机关交通管理部门。公安机关交通管理部门应当责令改正车辆装载物掉落、遗洒、飘散等违法行为；公路管理机构、公路经营企业应当及时清除掉落、遗洒、飘散在公路上的障碍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车辆装载物掉落、遗洒、飘散后，车辆驾驶人、押运人员未及时采取措施处理，造成他人人身、财产损害的，道路运输企业、车辆驾驶人应当依法承担赔偿责任。</w:t>
      </w:r>
    </w:p>
    <w:p>
      <w:pPr>
        <w:pStyle w:val="3"/>
        <w:rPr>
          <w:rFonts w:ascii="方正黑体_GBK"/>
        </w:rPr>
      </w:pPr>
      <w:r>
        <w:rPr>
          <w:rFonts w:hint="eastAsia" w:ascii="方正黑体_GBK" w:hAnsi="Times New Roman" w:cs="Times New Roman"/>
        </w:rPr>
        <w:t>第四章　公路养护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公路管理机构、公路经营企业应当加强公路养护，保证公路经常处于良好技术状态。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前款所称良好技术状态，是指公路自身的物理状态符合有关技术标准的要求，包括路面平整，路肩、边坡平顺，有关设施完好。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公路养护应当按照国务院交通运输主管部门规定的技术规范和操作规程实施作业。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从事公路养护作业的单位应当具备下列资质条件：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(一)有一定数量的符合要求的技术人员；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(二)有与公路养护作业相适应的技术设备；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(三)有与公路养护作业相适应的作业经历；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(四)国务院交通运输主管部门规定的其他条件。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公路养护作业单位资质管理办法由国务院交通运输主管部门另行制定。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公路管理机构、公路经营企业应当按照国务院交通运输主管部门的规定对公路进行巡查，并制作巡查记录；发现公路坍塌、坑槽、隆起等损毁的，应当及时设置警示标志，并采取措施修复。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公安机关交通管理部门发现公路坍塌、坑槽、隆起等损毁，危及交通安全的，应当及时采取措施，疏导交通，并通知公路管理机构或者公路经营企业。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其他人员发现公路坍塌、坑槽、隆起等损毁的，应当及时向公路管理机构、公安机关交通管理部门报告。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公路管理机构、公路经营企业应当定期对公路、公路桥梁、公路隧道进行检测和评定，保证其技术状态符合有关技术标准；对经检测发现不符合车辆通行安全要求的，应当进行维修，及时向社会公告，并通知公安机关交通管理部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公路管理机构、公路经营企业应当定期检查公路隧道的排水、通风、照明、监控、报警、消防、救助等设施，保持设施处于完好状态。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公路管理机构应当统筹安排公路养护作业计划，避免集中进行公路养护作业造成交通堵塞。</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省、自治区、直辖市交界区域进行公路养护作业，可能造成交通堵塞的，有关公路管理机构、公安机关交通管理部门应当事先书面通报相邻的省、自治区、直辖市公路管理机构、公安机关交通管理部门，共同制定疏导预案，确定分流路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公路养护作业需要封闭公路的，或者占用半幅公路进行作业，作业路段长度在2公里以上，并且作业期限超过30日的，除紧急情况外，公路养护作业单位应当在作业开始之日前5日向社会公告，明确绕行路线，并在绕行处设置标志；不能绕行的，应当修建临时道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公路养护作业人员作业时，应当穿着统一的安全标志服。公路养护车辆、机械设备作业时，应当设置明显的作业标志，开启危险报警闪光灯。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发生公路突发事件影响通行的，公路管理机构、公路经营企业应当及时修复公路、恢复通行。设区的市级以上人民政府交通运输主管部门应当根据修复公路、恢复通行的需要，及时调集抢修力量，统筹安排有关作业计划，下达路网调度指令，配合有关部门组织绕行、分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设区的市级以上公路管理机构应当按照国务院交通运输主管部门的规定收集、汇总公路损毁、公路交通流量等信息，开展公路突发事件的监测、预报和预警工作，并利用多种方式及时向社会发布有关公路运行信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　</w:t>
      </w:r>
      <w:r>
        <w:rPr>
          <w:rFonts w:ascii="Times New Roman" w:hAnsi="Times New Roman" w:eastAsia="仿宋_GB2312" w:cs="Times New Roman"/>
          <w:sz w:val="32"/>
          <w:szCs w:val="32"/>
        </w:rPr>
        <w:t>中国人民武装警察交通部队按照国家有关规定承担公路、公路桥梁、公路隧道等设施的抢修任务。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　</w:t>
      </w:r>
      <w:r>
        <w:rPr>
          <w:rFonts w:ascii="Times New Roman" w:hAnsi="Times New Roman" w:eastAsia="仿宋_GB2312" w:cs="Times New Roman"/>
          <w:sz w:val="32"/>
          <w:szCs w:val="32"/>
        </w:rPr>
        <w:t>公路永久性停止使用的，应当按照国务院交通运输主管部门规定的程序核准后作报废处理，并向社会公告。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公路报废后的土地使用管理依照有关土地管理的法律、行政法规执行。</w:t>
      </w:r>
    </w:p>
    <w:p>
      <w:pPr>
        <w:pStyle w:val="3"/>
        <w:rPr>
          <w:rFonts w:ascii="方正黑体_GBK"/>
        </w:rPr>
      </w:pPr>
      <w:r>
        <w:rPr>
          <w:rFonts w:hint="eastAsia" w:ascii="方正黑体_GBK" w:hAnsi="Times New Roman" w:cs="Times New Roman"/>
        </w:rPr>
        <w:t>第五章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　</w:t>
      </w:r>
      <w:r>
        <w:rPr>
          <w:rFonts w:ascii="Times New Roman" w:hAnsi="Times New Roman" w:eastAsia="仿宋_GB2312" w:cs="Times New Roman"/>
          <w:sz w:val="32"/>
          <w:szCs w:val="32"/>
        </w:rPr>
        <w:t>违反本条例的规定，有下列情形之一的，由公路管理机构责令限期拆除，可以处5万元以下的罚款。逾期不拆除的，由公路管理机构拆除，有关费用由违法行为人承担：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(一)在公路建筑控制区内修建、扩建建筑物、地面构筑物或者未经许可埋设管道、电缆等设施的；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(二)在公路建筑控制区外修建的建筑物、地面构筑物以及其他设施遮挡公路标志或者妨碍安全视距的。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　</w:t>
      </w:r>
      <w:r>
        <w:rPr>
          <w:rFonts w:ascii="Times New Roman" w:hAnsi="Times New Roman" w:eastAsia="仿宋_GB2312" w:cs="Times New Roman"/>
          <w:sz w:val="32"/>
          <w:szCs w:val="32"/>
        </w:rPr>
        <w:t>违反本条例第十八条、第十九条、第二十三条规定的，由安全生产监督管理部门、水行政主管部门、流域管理机构、海事管理机构等有关单位依法处理。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第五十八条　</w:t>
      </w:r>
      <w:r>
        <w:rPr>
          <w:rFonts w:ascii="Times New Roman" w:hAnsi="Times New Roman" w:eastAsia="仿宋_GB2312" w:cs="Times New Roman"/>
          <w:sz w:val="32"/>
          <w:szCs w:val="32"/>
        </w:rPr>
        <w:t>违反本条例第二十条规定的，由水行政主管部门或者流域管理机构责令改正，可以处3万元以下的罚款。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第五十九条　</w:t>
      </w:r>
      <w:r>
        <w:rPr>
          <w:rFonts w:ascii="Times New Roman" w:hAnsi="Times New Roman" w:eastAsia="仿宋_GB2312" w:cs="Times New Roman"/>
          <w:sz w:val="32"/>
          <w:szCs w:val="32"/>
        </w:rPr>
        <w:t>违反本条例第二十二条规定的，由公路管理机构责令改正，处2万元以上10万元以下的罚款。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第六十条　</w:t>
      </w:r>
      <w:r>
        <w:rPr>
          <w:rFonts w:ascii="Times New Roman" w:hAnsi="Times New Roman" w:eastAsia="仿宋_GB2312" w:cs="Times New Roman"/>
          <w:sz w:val="32"/>
          <w:szCs w:val="32"/>
        </w:rPr>
        <w:t>违反本条例的规定，有下列行为之一的，由公路管理机构责令改正，可以处3万元以下的罚款：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(一)损坏、擅自移动、涂改、遮挡公路附属设施或者利用公路附属设施架设管道、悬挂物品，可能危及公路安全的；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(二)涉路工程设施影响公路完好、安全和畅通的。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第六十一条　</w:t>
      </w:r>
      <w:r>
        <w:rPr>
          <w:rFonts w:ascii="Times New Roman" w:hAnsi="Times New Roman" w:eastAsia="仿宋_GB2312" w:cs="Times New Roman"/>
          <w:sz w:val="32"/>
          <w:szCs w:val="32"/>
        </w:rPr>
        <w:t>违反本条例的规定，未经批准更新采伐护路林的，由公路管理机构责令补种，没收违法所得，并处采伐林木价值3倍以上5倍以下的罚款。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第六十二条　</w:t>
      </w:r>
      <w:r>
        <w:rPr>
          <w:rFonts w:ascii="Times New Roman" w:hAnsi="Times New Roman" w:eastAsia="仿宋_GB2312" w:cs="Times New Roman"/>
          <w:sz w:val="32"/>
          <w:szCs w:val="32"/>
        </w:rPr>
        <w:t>违反本条例的规定，未经许可进行本条例第二十七条第一项至第五项规定的涉路施工活动的，由公路管理机构责令改正，可以处3万元以下的罚款；未经许可进行本条例第二十七条第六项规定的涉路施工活动的，由公路管理机构责令改正，处5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第六十三条　</w:t>
      </w:r>
      <w:r>
        <w:rPr>
          <w:rFonts w:ascii="Times New Roman" w:hAnsi="Times New Roman" w:eastAsia="仿宋_GB2312" w:cs="Times New Roman"/>
          <w:sz w:val="32"/>
          <w:szCs w:val="32"/>
        </w:rPr>
        <w:t>违反本条例的规定，非法生产、销售外廓尺寸、轴荷、总质量不符合国家有关车辆外廓尺寸、轴荷、质量限值等机动车安全技术标准的车辆的，依照《中华人民共和国道路交通安全法》的有关规定处罚。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具有国家规定资质的车辆生产企业未按照规定车型和技术参数改装车辆的，由原发证机关责令改正，处4万元以上20万元以下的罚款；拒不改正的，吊销其资质证书。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第六十四条　</w:t>
      </w:r>
      <w:r>
        <w:rPr>
          <w:rFonts w:ascii="Times New Roman" w:hAnsi="Times New Roman" w:eastAsia="仿宋_GB2312" w:cs="Times New Roman"/>
          <w:sz w:val="32"/>
          <w:szCs w:val="32"/>
        </w:rPr>
        <w:t>违反本条例的规定，在公路上行驶的车辆，车货总体的外廓尺寸、轴荷或者总质量超过公路、公路桥梁、公路隧道、汽车渡船限定标准的，由公路管理机构责令改正，可以处3万元以下的罚款。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第六十五条　</w:t>
      </w:r>
      <w:r>
        <w:rPr>
          <w:rFonts w:ascii="Times New Roman" w:hAnsi="Times New Roman" w:eastAsia="仿宋_GB2312" w:cs="Times New Roman"/>
          <w:sz w:val="32"/>
          <w:szCs w:val="32"/>
        </w:rPr>
        <w:t>违反本条例的规定，经批准进行超限运输的车辆，未按照指定时间、路线和速度行驶的，由公路管理机构或者公安机关交通管理部门责令改正；拒不改正的，公路管理机构或者公安机关交通管理部门可以扣留车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未随车携带超限运输车辆通行证的，由公路管理机构扣留车辆，责令车辆驾驶人提供超限运输车辆通行证或者相应的证明。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租借、转让超限运输车辆通行证的，由公路管理机构没收超限运输车辆通行证，处1000元以上5000元以下的罚款。使用伪造、变造的超限运输车辆通行证的，由公路管理机构没收伪造、变造的超限运输车辆通行证，处3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第六十六条　</w:t>
      </w:r>
      <w:r>
        <w:rPr>
          <w:rFonts w:ascii="Times New Roman" w:hAnsi="Times New Roman" w:eastAsia="仿宋_GB2312" w:cs="Times New Roman"/>
          <w:sz w:val="32"/>
          <w:szCs w:val="32"/>
        </w:rPr>
        <w:t>对1年内违法超限运输超过3次的货运车辆，由道路运输管理机构吊销其车辆营运证；对1年内违法超限运输超过3次的货运车辆驾驶人，由道路运输管理机构责令其停止从事营业性运输；道路运输企业1年内违法超限运输的货运车辆超过本单位货运车辆总数10%的，由道路运输管理机构责令道路运输企业停业整顿；情节严重的，吊销其道路运输经营许可证，并向社会公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第六十七条　</w:t>
      </w:r>
      <w:r>
        <w:rPr>
          <w:rFonts w:ascii="Times New Roman" w:hAnsi="Times New Roman" w:eastAsia="仿宋_GB2312" w:cs="Times New Roman"/>
          <w:sz w:val="32"/>
          <w:szCs w:val="32"/>
        </w:rPr>
        <w:t>违反本条例的规定，有下列行为之一的，由公路管理机构强制拖离或者扣留车辆，处3万元以下的罚款：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(一)采取故意堵塞固定超限检测站点通行车道、强行通过固定超限检测站点等方式扰乱超限检测秩序的；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(二)采取短途驳载等方式逃避超限检测的。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第六十八条　</w:t>
      </w:r>
      <w:r>
        <w:rPr>
          <w:rFonts w:ascii="Times New Roman" w:hAnsi="Times New Roman" w:eastAsia="仿宋_GB2312" w:cs="Times New Roman"/>
          <w:sz w:val="32"/>
          <w:szCs w:val="32"/>
        </w:rPr>
        <w:t>违反本条例的规定，指使、强令车辆驾驶人超限运输货物的，由道路运输管理机构责令改正，处3万元以下的罚款。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第六十九条　</w:t>
      </w:r>
      <w:r>
        <w:rPr>
          <w:rFonts w:ascii="Times New Roman" w:hAnsi="Times New Roman" w:eastAsia="仿宋_GB2312" w:cs="Times New Roman"/>
          <w:sz w:val="32"/>
          <w:szCs w:val="32"/>
        </w:rPr>
        <w:t>车辆装载物触地拖行、掉落、遗洒或者飘散，造成公路路面损坏、污染的，由公路管理机构责令改正，处5000元以下的罚款。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第七十条　</w:t>
      </w:r>
      <w:r>
        <w:rPr>
          <w:rFonts w:ascii="Times New Roman" w:hAnsi="Times New Roman" w:eastAsia="仿宋_GB2312" w:cs="Times New Roman"/>
          <w:sz w:val="32"/>
          <w:szCs w:val="32"/>
        </w:rPr>
        <w:t>违反本条例的规定，公路养护作业单位未按照国务院交通运输主管部门规定的技术规范和操作规程进行公路养护作业的，由公路管理机构责令改正，处1万元以上5万元以下的罚款；拒不改正的，吊销其资质证书。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第七十一条　</w:t>
      </w:r>
      <w:r>
        <w:rPr>
          <w:rFonts w:ascii="Times New Roman" w:hAnsi="Times New Roman" w:eastAsia="仿宋_GB2312" w:cs="Times New Roman"/>
          <w:sz w:val="32"/>
          <w:szCs w:val="32"/>
        </w:rPr>
        <w:t>造成公路、公路附属设施损坏的单位和个人应当立即报告公路管理机构，接受公路管理机构的现场调查处理；危及交通安全的，还应当设置警示标志或者采取其他安全防护措施，并迅速报告公安机关交通管理部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发生交通事故造成公路、公路附属设施损坏的，公安机关交通管理部门在处理交通事故时应当及时通知有关公路管理机构到场调查处理。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第七十二条　</w:t>
      </w:r>
      <w:r>
        <w:rPr>
          <w:rFonts w:ascii="Times New Roman" w:hAnsi="Times New Roman" w:eastAsia="仿宋_GB2312" w:cs="Times New Roman"/>
          <w:sz w:val="32"/>
          <w:szCs w:val="32"/>
        </w:rPr>
        <w:t>造成公路、公路附属设施损坏，拒不接受公路管理机构现场调查处理的，公路管理机构可以扣留车辆、工具。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路管理机构扣留车辆、工具的，应当当场出具凭证，并告知当事人在规定期限内到公路管理机构接受处理。逾期不接受处理，并且经公告3个月仍不来接受处理的，对扣留的车辆、工具，由公路管理机构依法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公路管理机构对被扣留的车辆、工具应当妥善保管，不得使用。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第七十三条　</w:t>
      </w:r>
      <w:r>
        <w:rPr>
          <w:rFonts w:ascii="Times New Roman" w:hAnsi="Times New Roman" w:eastAsia="仿宋_GB2312" w:cs="Times New Roman"/>
          <w:sz w:val="32"/>
          <w:szCs w:val="32"/>
        </w:rPr>
        <w:t>违反本条例的规定，公路管理机构工作人员有下列行为之一的，依法给予处分：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(一)违法实施行政许可的；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(二)违反规定拦截、检查正常行驶的车辆的；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(三)未及时采取措施处理公路坍塌、坑槽、隆起等损毁的；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(四)违法扣留车辆、工具或者使用依法扣留的车辆、工具的；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(五)有其他玩忽职守、徇私舞弊、滥用职权行为的。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公路管理机构有前款所列行为之一的，对负有直接责任的主管人员和其他直接责任人员依法给予处分。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第七十四条　</w:t>
      </w:r>
      <w:r>
        <w:rPr>
          <w:rFonts w:ascii="Times New Roman" w:hAnsi="Times New Roman" w:eastAsia="仿宋_GB2312" w:cs="Times New Roman"/>
          <w:sz w:val="32"/>
          <w:szCs w:val="32"/>
        </w:rPr>
        <w:t>违反本条例的规定，构成违反治安管理行为的，由公安机关依法给予治安管理处罚；构成犯罪的，依法追究刑事责任。</w:t>
      </w:r>
    </w:p>
    <w:p>
      <w:pPr>
        <w:pStyle w:val="3"/>
        <w:rPr>
          <w:rFonts w:ascii="方正黑体_GBK"/>
        </w:rPr>
      </w:pPr>
      <w:r>
        <w:rPr>
          <w:rFonts w:hint="eastAsia" w:ascii="方正黑体_GBK" w:hAnsi="Times New Roman" w:cs="Times New Roman"/>
        </w:rPr>
        <w:t>第六章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第七十五条　</w:t>
      </w:r>
      <w:r>
        <w:rPr>
          <w:rFonts w:ascii="Times New Roman" w:hAnsi="Times New Roman" w:eastAsia="仿宋_GB2312" w:cs="Times New Roman"/>
          <w:sz w:val="32"/>
          <w:szCs w:val="32"/>
        </w:rPr>
        <w:t>村道的管理和养护工作，由乡级人民政府参照本条例的规定执行。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专用公路的保护不适用本条例。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第七十六条　</w:t>
      </w:r>
      <w:r>
        <w:rPr>
          <w:rFonts w:ascii="Times New Roman" w:hAnsi="Times New Roman" w:eastAsia="仿宋_GB2312" w:cs="Times New Roman"/>
          <w:sz w:val="32"/>
          <w:szCs w:val="32"/>
        </w:rPr>
        <w:t>军事运输使用公路按照国务院、中央军事委员会的有关规定执行。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第七十七条　</w:t>
      </w:r>
      <w:r>
        <w:rPr>
          <w:rFonts w:ascii="Times New Roman" w:hAnsi="Times New Roman" w:eastAsia="仿宋_GB2312" w:cs="Times New Roman"/>
          <w:sz w:val="32"/>
          <w:szCs w:val="32"/>
        </w:rPr>
        <w:t>本条例自2011年7月1日起施行。1987年10月13日国务院发布的《中华人民共和国公路管理条例》同时废止。</w:t>
      </w:r>
    </w:p>
    <w:sectPr>
      <w:footerReference r:id="rId3" w:type="default"/>
      <w:footnotePr>
        <w:numFmt w:val="decimalEnclosedCircleChinese"/>
        <w:numRestart w:val="eachPage"/>
      </w:footnotePr>
      <w:pgSz w:w="11906" w:h="16838"/>
      <w:pgMar w:top="1440" w:right="1753" w:bottom="1440" w:left="1753"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方正黑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11"/>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footnotePr>
    <w:numFmt w:val="decimalEnclosedCircleChinese"/>
    <w:numRestart w:val="eachPage"/>
  </w:footnotePr>
  <w:compat>
    <w:spaceForUL/>
    <w:balanceSingleByteDoubleByteWidth/>
    <w:doNotLeaveBackslashAlone/>
    <w:ulTrailSpace/>
    <w:doNotExpandShiftReturn/>
    <w:adjustLineHeightInTable/>
    <w:useFELayout/>
    <w:compatSetting w:name="compatibilityMode" w:uri="http://schemas.microsoft.com/office/word" w:val="12"/>
  </w:compat>
  <w:rsids>
    <w:rsidRoot w:val="00C679F8"/>
    <w:rsid w:val="00027AB2"/>
    <w:rsid w:val="000917B9"/>
    <w:rsid w:val="000A5459"/>
    <w:rsid w:val="000C4C92"/>
    <w:rsid w:val="000D392D"/>
    <w:rsid w:val="000E1E0F"/>
    <w:rsid w:val="000E61BB"/>
    <w:rsid w:val="001123A3"/>
    <w:rsid w:val="001308F7"/>
    <w:rsid w:val="001E555F"/>
    <w:rsid w:val="00290D32"/>
    <w:rsid w:val="002C025D"/>
    <w:rsid w:val="002C3000"/>
    <w:rsid w:val="002F6361"/>
    <w:rsid w:val="003004CE"/>
    <w:rsid w:val="00351FC0"/>
    <w:rsid w:val="003653A6"/>
    <w:rsid w:val="00365B84"/>
    <w:rsid w:val="00366E7D"/>
    <w:rsid w:val="00367E2D"/>
    <w:rsid w:val="003767F3"/>
    <w:rsid w:val="0038655D"/>
    <w:rsid w:val="003A2108"/>
    <w:rsid w:val="003A6FAA"/>
    <w:rsid w:val="003D14A2"/>
    <w:rsid w:val="003D3DF5"/>
    <w:rsid w:val="003E1D23"/>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C05B5"/>
    <w:rsid w:val="005F72E4"/>
    <w:rsid w:val="0060279C"/>
    <w:rsid w:val="00604330"/>
    <w:rsid w:val="006405E2"/>
    <w:rsid w:val="006848F5"/>
    <w:rsid w:val="00696872"/>
    <w:rsid w:val="00723BD5"/>
    <w:rsid w:val="00730ACC"/>
    <w:rsid w:val="00735841"/>
    <w:rsid w:val="00774219"/>
    <w:rsid w:val="0077596B"/>
    <w:rsid w:val="007953C3"/>
    <w:rsid w:val="007A2BEC"/>
    <w:rsid w:val="007C74E7"/>
    <w:rsid w:val="007E54CD"/>
    <w:rsid w:val="00826E44"/>
    <w:rsid w:val="0083648E"/>
    <w:rsid w:val="008665B0"/>
    <w:rsid w:val="00891DB0"/>
    <w:rsid w:val="008C4A57"/>
    <w:rsid w:val="008F43D9"/>
    <w:rsid w:val="00965278"/>
    <w:rsid w:val="00965B34"/>
    <w:rsid w:val="009D67A7"/>
    <w:rsid w:val="00A06F17"/>
    <w:rsid w:val="00A1689C"/>
    <w:rsid w:val="00A37B48"/>
    <w:rsid w:val="00A57CA4"/>
    <w:rsid w:val="00AA747A"/>
    <w:rsid w:val="00AD44EB"/>
    <w:rsid w:val="00B15D96"/>
    <w:rsid w:val="00B31E84"/>
    <w:rsid w:val="00B9435F"/>
    <w:rsid w:val="00BC2466"/>
    <w:rsid w:val="00BC4671"/>
    <w:rsid w:val="00BD7AE1"/>
    <w:rsid w:val="00BE0B46"/>
    <w:rsid w:val="00C603F7"/>
    <w:rsid w:val="00C679F8"/>
    <w:rsid w:val="00C7190D"/>
    <w:rsid w:val="00CA02BD"/>
    <w:rsid w:val="00CB4C46"/>
    <w:rsid w:val="00CC5669"/>
    <w:rsid w:val="00CD01A8"/>
    <w:rsid w:val="00D11792"/>
    <w:rsid w:val="00D15169"/>
    <w:rsid w:val="00D56773"/>
    <w:rsid w:val="00D61EFD"/>
    <w:rsid w:val="00D83072"/>
    <w:rsid w:val="00D92776"/>
    <w:rsid w:val="00DF7D69"/>
    <w:rsid w:val="00E012B2"/>
    <w:rsid w:val="00E149FA"/>
    <w:rsid w:val="00E21E2B"/>
    <w:rsid w:val="00E40DDC"/>
    <w:rsid w:val="00E44CB1"/>
    <w:rsid w:val="00E73B49"/>
    <w:rsid w:val="00EC63E9"/>
    <w:rsid w:val="00ED65AD"/>
    <w:rsid w:val="00F2134E"/>
    <w:rsid w:val="00F52F1B"/>
    <w:rsid w:val="00F62793"/>
    <w:rsid w:val="00F90210"/>
    <w:rsid w:val="00FA2E60"/>
    <w:rsid w:val="00FA45FB"/>
    <w:rsid w:val="00FB4416"/>
    <w:rsid w:val="00FB783C"/>
    <w:rsid w:val="00FC6E24"/>
    <w:rsid w:val="00FD7678"/>
    <w:rsid w:val="00FD7765"/>
    <w:rsid w:val="0414064D"/>
    <w:rsid w:val="08B04008"/>
    <w:rsid w:val="19EA7767"/>
    <w:rsid w:val="1D991379"/>
    <w:rsid w:val="27174967"/>
    <w:rsid w:val="32D83270"/>
    <w:rsid w:val="3C1873BA"/>
    <w:rsid w:val="409D008B"/>
    <w:rsid w:val="596C5D88"/>
    <w:rsid w:val="5CF43022"/>
    <w:rsid w:val="7012198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1"/>
    <w:unhideWhenUsed/>
    <w:qFormat/>
    <w:uiPriority w:val="9"/>
    <w:pPr>
      <w:keepNext/>
      <w:keepLines/>
      <w:spacing w:before="260" w:after="260" w:line="41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2"/>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3"/>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4"/>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5"/>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6"/>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7"/>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unhideWhenUsed/>
    <w:qFormat/>
    <w:uiPriority w:val="1"/>
  </w:style>
  <w:style w:type="table" w:default="1" w:styleId="14">
    <w:name w:val="Normal Table"/>
    <w:unhideWhenUsed/>
    <w:qFormat/>
    <w:uiPriority w:val="99"/>
    <w:tblPr>
      <w:tblLayout w:type="fixed"/>
      <w:tblCellMar>
        <w:top w:w="0" w:type="dxa"/>
        <w:left w:w="108" w:type="dxa"/>
        <w:bottom w:w="0" w:type="dxa"/>
        <w:right w:w="108" w:type="dxa"/>
      </w:tblCellMar>
    </w:tblPr>
  </w:style>
  <w:style w:type="paragraph" w:styleId="10">
    <w:name w:val="Plain Text"/>
    <w:basedOn w:val="1"/>
    <w:link w:val="17"/>
    <w:unhideWhenUsed/>
    <w:qFormat/>
    <w:uiPriority w:val="99"/>
    <w:rPr>
      <w:rFonts w:ascii="宋体" w:hAnsi="Courier New" w:eastAsia="宋体" w:cs="Courier New"/>
      <w:szCs w:val="21"/>
    </w:rPr>
  </w:style>
  <w:style w:type="paragraph" w:styleId="11">
    <w:name w:val="footer"/>
    <w:basedOn w:val="1"/>
    <w:link w:val="19"/>
    <w:unhideWhenUsed/>
    <w:qFormat/>
    <w:uiPriority w:val="99"/>
    <w:pPr>
      <w:tabs>
        <w:tab w:val="center" w:pos="4153"/>
        <w:tab w:val="right" w:pos="8306"/>
      </w:tabs>
      <w:snapToGrid w:val="0"/>
      <w:jc w:val="left"/>
    </w:pPr>
    <w:rPr>
      <w:sz w:val="18"/>
      <w:szCs w:val="18"/>
    </w:rPr>
  </w:style>
  <w:style w:type="paragraph" w:styleId="12">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link w:val="28"/>
    <w:unhideWhenUsed/>
    <w:qFormat/>
    <w:uiPriority w:val="99"/>
    <w:pPr>
      <w:snapToGrid w:val="0"/>
      <w:jc w:val="left"/>
    </w:pPr>
    <w:rPr>
      <w:sz w:val="18"/>
      <w:szCs w:val="18"/>
    </w:rPr>
  </w:style>
  <w:style w:type="character" w:styleId="16">
    <w:name w:val="footnote reference"/>
    <w:basedOn w:val="15"/>
    <w:unhideWhenUsed/>
    <w:qFormat/>
    <w:uiPriority w:val="99"/>
    <w:rPr>
      <w:vertAlign w:val="superscript"/>
    </w:rPr>
  </w:style>
  <w:style w:type="character" w:customStyle="1" w:styleId="17">
    <w:name w:val="纯文本 Char"/>
    <w:basedOn w:val="15"/>
    <w:link w:val="10"/>
    <w:qFormat/>
    <w:uiPriority w:val="99"/>
    <w:rPr>
      <w:rFonts w:ascii="宋体" w:hAnsi="Courier New" w:eastAsia="宋体" w:cs="Courier New"/>
      <w:szCs w:val="21"/>
    </w:rPr>
  </w:style>
  <w:style w:type="character" w:customStyle="1" w:styleId="18">
    <w:name w:val="页眉 Char"/>
    <w:basedOn w:val="15"/>
    <w:link w:val="12"/>
    <w:semiHidden/>
    <w:qFormat/>
    <w:uiPriority w:val="99"/>
    <w:rPr>
      <w:sz w:val="18"/>
      <w:szCs w:val="18"/>
    </w:rPr>
  </w:style>
  <w:style w:type="character" w:customStyle="1" w:styleId="19">
    <w:name w:val="页脚 Char"/>
    <w:basedOn w:val="15"/>
    <w:link w:val="11"/>
    <w:semiHidden/>
    <w:qFormat/>
    <w:uiPriority w:val="99"/>
    <w:rPr>
      <w:sz w:val="18"/>
      <w:szCs w:val="18"/>
    </w:rPr>
  </w:style>
  <w:style w:type="character" w:customStyle="1" w:styleId="20">
    <w:name w:val="标题 1 Char"/>
    <w:basedOn w:val="15"/>
    <w:link w:val="2"/>
    <w:qFormat/>
    <w:uiPriority w:val="9"/>
    <w:rPr>
      <w:b/>
      <w:bCs/>
      <w:kern w:val="44"/>
      <w:sz w:val="44"/>
      <w:szCs w:val="44"/>
    </w:rPr>
  </w:style>
  <w:style w:type="character" w:customStyle="1" w:styleId="21">
    <w:name w:val="标题 2 Char"/>
    <w:basedOn w:val="15"/>
    <w:link w:val="3"/>
    <w:semiHidden/>
    <w:qFormat/>
    <w:uiPriority w:val="9"/>
    <w:rPr>
      <w:rFonts w:eastAsia="方正黑体_GBK" w:asciiTheme="majorAscii" w:hAnsiTheme="majorAscii" w:cstheme="majorBidi"/>
      <w:bCs/>
      <w:sz w:val="32"/>
      <w:szCs w:val="32"/>
    </w:rPr>
  </w:style>
  <w:style w:type="character" w:customStyle="1" w:styleId="22">
    <w:name w:val="标题 3 Char"/>
    <w:basedOn w:val="15"/>
    <w:link w:val="4"/>
    <w:semiHidden/>
    <w:qFormat/>
    <w:uiPriority w:val="9"/>
    <w:rPr>
      <w:b/>
      <w:bCs/>
      <w:sz w:val="32"/>
      <w:szCs w:val="32"/>
    </w:rPr>
  </w:style>
  <w:style w:type="character" w:customStyle="1" w:styleId="23">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4">
    <w:name w:val="标题 5 Char"/>
    <w:basedOn w:val="15"/>
    <w:link w:val="6"/>
    <w:semiHidden/>
    <w:qFormat/>
    <w:uiPriority w:val="9"/>
    <w:rPr>
      <w:b/>
      <w:bCs/>
      <w:sz w:val="28"/>
      <w:szCs w:val="28"/>
    </w:rPr>
  </w:style>
  <w:style w:type="character" w:customStyle="1" w:styleId="25">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6">
    <w:name w:val="标题 7 Char"/>
    <w:basedOn w:val="15"/>
    <w:link w:val="8"/>
    <w:semiHidden/>
    <w:qFormat/>
    <w:uiPriority w:val="9"/>
    <w:rPr>
      <w:b/>
      <w:bCs/>
      <w:sz w:val="24"/>
      <w:szCs w:val="24"/>
    </w:rPr>
  </w:style>
  <w:style w:type="character" w:customStyle="1" w:styleId="27">
    <w:name w:val="标题 8 Char"/>
    <w:basedOn w:val="15"/>
    <w:link w:val="9"/>
    <w:semiHidden/>
    <w:qFormat/>
    <w:uiPriority w:val="9"/>
    <w:rPr>
      <w:rFonts w:asciiTheme="majorHAnsi" w:hAnsiTheme="majorHAnsi" w:eastAsiaTheme="majorEastAsia" w:cstheme="majorBidi"/>
      <w:sz w:val="24"/>
      <w:szCs w:val="24"/>
    </w:rPr>
  </w:style>
  <w:style w:type="character" w:customStyle="1" w:styleId="28">
    <w:name w:val="脚注文本 Char"/>
    <w:basedOn w:val="15"/>
    <w:link w:val="1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1472</Words>
  <Characters>8392</Characters>
  <Lines>69</Lines>
  <Paragraphs>19</Paragraphs>
  <TotalTime>0</TotalTime>
  <ScaleCrop>false</ScaleCrop>
  <LinksUpToDate>false</LinksUpToDate>
  <CharactersWithSpaces>9845</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2019-05-22T12:35:00Z</dcterms:created>
  <dc:creator>Administrator</dc:creator>
  <cp:lastModifiedBy>Administrator</cp:lastModifiedBy>
  <cp:lastPrinted>2019-05-25T02:24:00Z</cp:lastPrinted>
  <dcterms:modified xsi:type="dcterms:W3CDTF">2019-07-05T07:28:25Z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