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bookmarkStart w:id="0" w:name="_GoBack"/>
      <w:bookmarkEnd w:id="0"/>
    </w:p>
    <w:p>
      <w:pPr>
        <w:pStyle w:val="10"/>
        <w:jc w:val="center"/>
        <w:rPr>
          <w:rFonts w:ascii="Times New Roman" w:hAnsi="Times New Roman" w:cs="Times New Roman"/>
          <w:sz w:val="32"/>
          <w:szCs w:val="32"/>
        </w:rPr>
      </w:pPr>
      <w:r>
        <w:rPr>
          <w:rFonts w:ascii="Times New Roman" w:hAnsi="Times New Roman" w:cs="Times New Roman"/>
          <w:sz w:val="44"/>
          <w:szCs w:val="44"/>
        </w:rPr>
        <w:t>防治船舶污染海洋环境管理条例</w:t>
      </w:r>
    </w:p>
    <w:p>
      <w:pPr>
        <w:pStyle w:val="10"/>
        <w:jc w:val="both"/>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spacing w:val="-6"/>
          <w:sz w:val="32"/>
          <w:szCs w:val="32"/>
        </w:rPr>
        <w:t>2009年9月9日中华人民共和国国务院令第561号公布　</w:t>
      </w:r>
      <w:r>
        <w:rPr>
          <w:rFonts w:ascii="Times New Roman" w:hAnsi="Times New Roman" w:eastAsia="楷体_GB2312" w:cs="Times New Roman"/>
          <w:sz w:val="32"/>
          <w:szCs w:val="32"/>
        </w:rPr>
        <w:t>根据2013年7月18日《国务院关于废止和修改部分行政法规的决定》第一次修订　根据2013年12月7日《国务院关于修改部分行政法规的决定》第二次修订　根据2014年7月29日《国务院关于修改部分行政法规的决定》第三次修订　根据2016年2月6日《国务院关于修改部分行政法规的决定》第四次修订　根据2017年3月1日《国务院关于修改和废止部分行政法规的决定》第五次修订　根据2018年3月19日《国务院关于修改和废止部分行政法规的决定》第六次修订)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为了防治船舶及其有关作业活动污染海洋环境，根据《中华人民共和国海洋环境保护法》，制定本条例。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防治船舶及其有关作业活动污染中华人民共和国管辖海域适用本条例。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防治船舶及其有关作业活动污染海洋环境，实行预防为主、防治结合的原则。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国务院交通运输主管部门主管所辖港区水域内非军事船舶和港区水域外非渔业、非军事船舶污染海洋环境的防治工作。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海事管理机构依照本条例规定具体负责防治船舶及其有关作业活动污染海洋环境的监督管理。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国务院交通运输主管部门应当根据防治船舶及其有关作业活动污染海洋环境的需要，组织编制防治船舶及其有关作业活动污染海洋环境应急能力建设规划，报国务院批准后公布实施。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沿海设区的市级以上地方人民政府应当按照国务院批准的防治船舶及其有关作业活动污染海洋环境应急能力建设规划，并根据本地区的实际情况，组织编制相应的防治船舶及其有关作业活动污染海洋环境应急能力建设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国务院交通运输主管部门、沿海设区的市级以上地方人民政府应当建立健全防治船舶及其有关作业活动污染海洋环境应急反应机制，并制定防治船舶及其有关作业活动污染海洋环境应急预案。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海事管理机构应当根据防治船舶及其有关作业活动污染海洋环境的需要，会同海洋主管部门建立健全船舶及其有关作业活动污染海洋环境的监测、监视机制，加强对船舶及其有关作业活动污染海洋环境的监测、监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国务院交通运输主管部门、沿海设区的市级以上地方人民政府应当按照防治船舶及其有关作业活动污染海洋环境应急能力建设规划，建立专业应急队伍和应急设备库，配备专用的设施、设备和器材。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任何单位和个人发现船舶及其有关作业活动造成或者可能造成海洋环境污染的，应当立即就近向海事管理机构报告。</w:t>
      </w:r>
    </w:p>
    <w:p>
      <w:pPr>
        <w:pStyle w:val="3"/>
        <w:bidi w:val="0"/>
      </w:pPr>
      <w:r>
        <w:t>第二章　防治船舶及其有关作业活动污染海洋环境的一般规定　</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船舶的结构、设备、器材应当符合国家有关防治船舶污染海洋环境的技术规范以及中华人民共和国缔结或者参加的国际条约的要求。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船舶应当依照法律、行政法规、国务院交通运输主管部门的规定以及中华人民共和国缔结或者参加的国际条约的要求，取得并随船携带相应的防治船舶污染海洋环境的证书、文书。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中国籍船舶的所有人、经营人或者管理人应当按照国务院交通运输主管部门的规定，建立健全安全营运和防治船舶污染管理体系。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海事管理机构应当对安全营运和防治船舶污染管理体系进行审核，审核合格的，发给符合证明和相应的船舶安全管理证书。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港口、码头、装卸站以及从事船舶修造的单位应当配备与其装卸货物种类和吞吐能力或者修造船舶能力相适应的污染监视设施和污染物接收设施，并使其处于良好状态。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港口、码头、装卸站以及从事船舶修造、打捞、拆解等作业活动的单位应当制定有关安全营运和防治污染的管理制度，按照国家有关防治船舶及其有关作业活动污染海洋环境的规范和标准，配备相应的防治污染设备和器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港口、码头、装卸站以及从事船舶修造、打捞、拆解等作业活动的单位，应当定期检查、维护配备的防治污染设备和器材，确保防治污染设备和器材符合防治船舶及其有关作业活动污染海洋环境的要求。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船舶所有人、经营人或者管理人应当制定防治船舶及其有关作业活动污染海洋环境的应急预案，并报海事管理机构备案。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港口、码头、装卸站的经营人以及有关作业单位应当制定防治船舶及其有关作业活动污染海洋环境的应急预案，并报海事管理机构和环境保护主管部门备案。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船舶、港口、码头、装卸站以及其他有关作业单位应当按照应急预案，定期组织演练，并做好相应记录。</w:t>
      </w:r>
    </w:p>
    <w:p>
      <w:pPr>
        <w:pStyle w:val="3"/>
        <w:bidi w:val="0"/>
      </w:pPr>
      <w:r>
        <w:t>第三章　船舶污染物的排放和接收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船舶在中华人民共和国管辖海域向海洋排放的船舶垃圾、生活污水、含油污水、含有毒有害物质污水、废气等污染物以及压载水，应当符合法律、行政法规、中华人民共和国缔结或者参加的国际条约以及相关标准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船舶应当将不符合前款规定的排放要求的污染物排入港口接收设施或者由船舶污染物接收单位接收。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船舶不得向依法划定的海洋自然保护区、海滨风景名胜区、重要渔业水域以及其他需要特别保护的海域排放船舶污染物。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船舶处置污染物，应当在相应的记录簿内如实记录。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船舶应当将使用完毕的船舶垃圾记录簿在船舶上保留2年；将使用完毕的含油污水、含有毒有害物质污水记录簿在船舶上保留3年。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船舶污染物接收单位从事船舶垃圾、残油、含油污水、含有毒有害物质污水接收作业，应当编制作业方案，遵守相关操作规程，并采取必要的防污染措施。船舶污染物接收单位应当将船舶污染物接收情况按照规定向海事管理机构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船舶污染物接收单位接收船舶污染物，应当向船舶出具污染物接收单证，经双方签字确认并留存至少2年。污染物接收单证应当注明作业双方名称，作业开始和结束的时间、地点，以及污染物种类、数量等内容。船舶应当将污染物接收单证保存在相应的记录簿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船舶污染物接收单位应当按照国家有关污染物处理的规定处理接收的船舶污染物，并每月将船舶污染物的接收和处理情况报海事管理机构备案。</w:t>
      </w:r>
    </w:p>
    <w:p>
      <w:pPr>
        <w:pStyle w:val="3"/>
        <w:bidi w:val="0"/>
      </w:pPr>
      <w:r>
        <w:t>第四章　船舶有关作业活动的污染防治　</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从事船舶清舱、洗舱、油料供受、装卸、过驳、修造、打捞、拆解，污染危害性货物装箱、充罐，污染清除作业以及利用船舶进行水上水下施工等作业活动的，应当遵守相关操作规程，并采取必要的安全和防治污染的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从事前款规定的作业活动的人员，应当具备相关安全和防治污染的专业知识和技能。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船舶不符合污染危害性货物适载要求的，不得载运污染危害性货物，码头、装卸站不得为其进行装载作业。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污染危害性货物的名录由国家海事管理机构公布。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载运污染危害性货物进出港口的船舶，其承运人、货物所有人或者代理人，应当向海事管理机构提出申请，经批准方可进出港口或者过境停留。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载运污染危害性货物的船舶，应当在海事管理机构公布的具有相应安全装卸和污染物处理能力的码头、装卸站进行装卸作业。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货物所有人或者代理人交付船舶载运污染危害性货物，应当确保货物的包装与标志等符合有关安全和防治污染的规定，并在运输单证上准确注明货物的技术名称、编号、类别(性质)、数量、注意事项和应急措施等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货物所有人或者代理人交付船舶载运污染危害性不明的货物，应当委托有关技术机构进行危害性评估，明确货物的危害性质以及有关安全和防治污染要求，方可交付船舶载运。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海事管理机构认为交付船舶载运的污染危害性货物应当申报而未申报，或者申报的内容不符合实际情况的，可以按照国务院交通运输主管部门的规定采取开箱等方式查验。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海事管理机构查验污染危害性货物，货物所有人或者代理人应当到场，并负责搬移货物，开拆和重封货物的包装。海事管理机构认为必要的，可以径行查验、复验或者提取货样，有关单位和个人应当配合。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进行散装液体污染危害性货物过驳作业的船舶，其承运人、货物所有人或者代理人应当向海事管理机构提出申请，告知作业地点，并附送过驳作业方案、作业程序、防治污染措施等材料。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海事管理机构应当自受理申请之日起2个工作日内作出许可或者不予许可的决定。2个工作日内无法作出决定的，经海事管理机构负责人批准，可以延长5个工作日。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依法获得船舶油料供受作业资质的单位，应当向海事管理机构备案。海事管理机构应当对船舶油料供受作业进行监督检查，发现不符合安全和防治污染要求的，应当予以制止。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船舶燃油供给单位应当如实填写燃油供受单证，并向船舶提供船舶燃油供受单证和燃油样品。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船舶和船舶燃油供给单位应当将燃油供受单证保存3年，并将燃油样品妥善保存1年。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船舶修造、水上拆解的地点应当符合环境功能区划和海洋功能区划。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从事船舶拆解的单位在船舶拆解作业前，应当对船舶上的残余物和废弃物进行处置，将油舱(柜)中的存油驳出，进行船舶清舱、洗舱、测爆等工作。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从事船舶拆解的单位应当及时清理船舶拆解现场，并按照国家有关规定处理船舶拆解产生的污染物。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禁止采取冲滩方式进行船舶拆解作业。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禁止船舶经过中华人民共和国内水、领海转移危险废物。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经过中华人民共和国管辖的其他海域转移危险废物的，应当事先取得国务院环境保护主管部门的书面同意，并按照海事管理机构指定的航线航行，定时报告船舶所处的位置。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船舶向海洋倾倒废弃物，应当如实记录倾倒情况。返港后，应当向驶出港所在地的海事管理机构提交书面报告。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载运散装液体污染危害性货物的船舶和1万总吨以上的其他船舶，其经营人应当在作业前或者进出港口前与符合国家有关技术规范的污染清除作业单位签订污染清除作业协议，明确双方在发生船舶污染事故后污染清除的权利和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与船舶经营人签订污染清除作业协议的污染清除作业单位应当在发生船舶污染事故后，按照污染清除作业协议及时进行污染清除作业。</w:t>
      </w:r>
    </w:p>
    <w:p>
      <w:pPr>
        <w:pStyle w:val="3"/>
        <w:bidi w:val="0"/>
      </w:pPr>
      <w:r>
        <w:t>第五章　船舶污染事故应急处置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本条例所称船舶污染事故，是指船舶及其有关作业活动发生油类、油性混合物和其他有毒有害物质泄漏造成的海洋环境污染事故。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船舶污染事故分为以下等级：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(一)特别重大船舶污染事故，是指船舶溢油1000吨以上，或者造成直接经济损失2亿元以上的船舶污染事故；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(二)重大船舶污染事故，是指船舶溢油500吨以上不足1000吨，或者造成直接经济损失1亿元以上不足2亿元的船舶污染事故；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(三)较大船舶污染事故，是指船舶溢油100吨以上不足500吨，或者造成直接经济损失5000万元以上不足1亿元的船舶污染事故；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(四)一般船舶污染事故，是指船舶溢油不足100吨，或者造成直接经济损失不足5000万元的船舶污染事故。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船舶在中华人民共和国管辖海域发生污染事故，或者在中华人民共和国管辖海域外发生污染事故造成或者可能造成中华人民共和国管辖海域污染的，应当立即启动相应的应急预案，采取措施控制和消除污染，并就近向有关海事管理机构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发现船舶及其有关作业活动可能对海洋环境造成污染的，船舶、码头、装卸站应当立即采取相应的应急处置措施，并就近向有关海事管理机构报告。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接到报告的海事管理机构应当立即核实有关情况，并向上级海事管理机构或者国务院交通运输主管部门报告，同时报告有关沿海设区的市级以上地方人民政府。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船舶污染事故报告应当包括下列内容：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(一)船舶的名称、国籍、呼号或者编号；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(二)船舶所有人、经营人或者管理人的名称、地址；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(三)发生事故的时间、地点以及相关气象和水文情况；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(四)事故原因或者事故原因的初步判断；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(五)船舶上污染物的种类、数量、装载位置等概况；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(六)污染程度；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(七)已经采取或者准备采取的污染控制、清除措施和污染控制情况以及救助要求；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(八)国务院交通运输主管部门规定应当报告的其他事项。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作出船舶污染事故报告后出现新情况的，船舶、有关单位应当及时补报。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发生特别重大船舶污染事故，国务院或者国务院授权国务院交通运输主管部门成立事故应急指挥机构。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发生重大船舶污染事故，有关省、自治区、直辖市人民政府应当会同海事管理机构成立事故应急指挥机构。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发生较大船舶污染事故和一般船舶污染事故，有关设区的市级人民政府应当会同海事管理机构成立事故应急指挥机构。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有关部门、单位应当在事故应急指挥机构统一组织和指挥下，按照应急预案的分工，开展相应的应急处置工作。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船舶发生事故有沉没危险，船员离船前，应当尽可能关闭所有货舱(柜)、油舱(柜)管系的阀门，堵塞货舱(柜)、油舱(柜)通气孔。</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船舶沉没的，船舶所有人、经营人或者管理人应当及时向海事管理机构报告船舶燃油、污染危害性货物以及其他污染物的性质、数量、种类、装载位置等情况，并及时采取措施予以清除。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发生船舶污染事故或者船舶沉没，可能造成中华人民共和国管辖海域污染的，有关沿海设区的市级以上地方人民政府、海事管理机构根据应急处置的需要，可以征用有关单位或者个人的船舶和防治污染设施、设备、器材以及其他物资，有关单位和个人应当予以配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被征用的船舶和防治污染设施、设备、器材以及其他物资使用完毕或者应急处置工作结束，应当及时返还。船舶和防治污染设施、设备、器材以及其他物资被征用或者征用后毁损、灭失的，应当给予补偿。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发生船舶污染事故，海事管理机构可以采取清除、打捞、拖航、引航、过驳等必要措施，减轻污染损害。相关费用由造成海洋环境污染的船舶、有关作业单位承担。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需要承担前款规定费用的船舶，应当在开航前缴清相关费用或者提供相应的财务担保。</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处置船舶污染事故使用的消油剂，应当符合国家有关标准。</w:t>
      </w:r>
    </w:p>
    <w:p>
      <w:pPr>
        <w:pStyle w:val="3"/>
        <w:bidi w:val="0"/>
      </w:pPr>
      <w:r>
        <w:t>第六章　船舶污染事故调查处理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船舶污染事故的调查处理依照下列规定进行：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(一)特别重大船舶污染事故由国务院或者国务院授权国务院交通运输主管部门等部门组织事故调查处理；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(二)重大船舶污染事故由国家海事管理机构组织事故调查处理；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(三)较大船舶污染事故和一般船舶污染事故由事故发生地的海事管理机构组织事故调查处理。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船舶污染事故给渔业造成损害的，应当吸收渔业主管部门参与调查处理；给军事港口水域造成损害的，应当吸收军队有关主管部门参与调查处理。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发生船舶污染事故，组织事故调查处理的机关或者海事管理机构应当及时、客观、公正地开展事故调查，勘验事故现场，检查相关船舶，询问相关人员，收集证据，查明事故原因。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组织事故调查处理的机关或者海事管理机构根据事故调查处理的需要，可以暂扣相应的证书、文书、资料；必要时，可以禁止船舶驶离港口或者责令停航、改航、停止作业直至暂扣船舶。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组织事故调查处理的机关或者海事管理机构开展事故调查时，船舶污染事故的当事人和其他有关人员应当如实反映情况和提供资料，不得伪造、隐匿、毁灭证据或者以其他方式妨碍调查取证。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组织事故调查处理的机关或者海事管理机构应当自事故调查结束之日起20个工作日内制作事故认定书，并送达当事人。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事故认定书应当载明事故基本情况、事故原因和事故责任。</w:t>
      </w:r>
    </w:p>
    <w:p>
      <w:pPr>
        <w:pStyle w:val="3"/>
        <w:bidi w:val="0"/>
      </w:pPr>
      <w:r>
        <w:t>第七章　船舶污染事故损害赔偿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造成海洋环境污染损害的责任者，应当排除危害，并赔偿损失；完全由于第三者的故意或者过失，造成海洋环境污染损害的，由第三者排除危害，并承担赔偿责任。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完全属于下列情形之一，经过及时采取合理措施，仍然不能避免对海洋环境造成污染损害的，免予承担责任：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(一)战争；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(二)不可抗拒的自然灾害；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(三)负责灯塔或者其他助航设备的主管部门，在执行职责时的疏忽，或者其他过失行为。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w:t>
      </w:r>
      <w:r>
        <w:rPr>
          <w:rFonts w:ascii="Times New Roman" w:hAnsi="Times New Roman" w:eastAsia="仿宋_GB2312" w:cs="Times New Roman"/>
          <w:sz w:val="32"/>
          <w:szCs w:val="32"/>
        </w:rPr>
        <w:t>　船舶污染事故的赔偿限额依照《中华人民共和国海商法》关于海事赔偿责任限制的规定执行。但是，船舶载运的散装持久性油类物质造成中华人民共和国管辖海域污染的，赔偿限额依照中华人民共和国缔结或者参加的有关国际条约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前款所称持久性油类物质，是指任何持久性烃类矿物油。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在中华人民共和国管辖海域内航行的船舶，其所有人应当按照国务院交通运输主管部门的规定，投保船舶油污损害民事责任保险或者取得相应的财务担保。但是，1000总吨以下载运非油类物质的船舶除外。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船舶所有人投保船舶油污损害民事责任保险或者取得的财务担保的额度应当不低于《中华人民共和国海商法》、中华人民共和国缔结或者参加的有关国际条约规定的油污赔偿限额。</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w:t>
      </w:r>
      <w:r>
        <w:rPr>
          <w:rFonts w:ascii="Times New Roman" w:hAnsi="Times New Roman" w:eastAsia="仿宋_GB2312" w:cs="Times New Roman"/>
          <w:sz w:val="32"/>
          <w:szCs w:val="32"/>
        </w:rPr>
        <w:t>　已依照本条例第五十一条的规定投保船舶油污损害民事责任保险或者取得财务担保的中国籍船舶，其所有人应当持船舶国籍证书、船舶油污损害民事责任保险合同或者财务担保证明，向船籍港的海事管理机构申请办理船舶油污损害民事责任保险证书或者财务保证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w:t>
      </w:r>
      <w:r>
        <w:rPr>
          <w:rFonts w:ascii="Times New Roman" w:hAnsi="Times New Roman" w:eastAsia="仿宋_GB2312" w:cs="Times New Roman"/>
          <w:sz w:val="32"/>
          <w:szCs w:val="32"/>
        </w:rPr>
        <w:t>　发生船舶油污事故，国家组织有关单位进行应急处置、清除污染所发生的必要费用，应当在船舶油污损害赔偿中优先受偿。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w:t>
      </w:r>
      <w:r>
        <w:rPr>
          <w:rFonts w:ascii="Times New Roman" w:hAnsi="Times New Roman" w:eastAsia="仿宋_GB2312" w:cs="Times New Roman"/>
          <w:sz w:val="32"/>
          <w:szCs w:val="32"/>
        </w:rPr>
        <w:t>　在中华人民共和国管辖水域接收海上运输的持久性油类物质货物的货物所有人或者代理人应当缴纳船舶油污损害赔偿基金。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船舶油污损害赔偿基金征收、使用和管理的具体办法由国务院财政部门会同国务院交通运输主管部门制定。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国家设立船舶油污损害赔偿基金管理委员会，负责处理船舶油污损害赔偿基金的赔偿等事务。船舶油污损害赔偿基金管理委员会由有关行政机关和缴纳船舶油污损害赔偿基金的主要货主组成。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w:t>
      </w:r>
      <w:r>
        <w:rPr>
          <w:rFonts w:ascii="Times New Roman" w:hAnsi="Times New Roman" w:eastAsia="仿宋_GB2312" w:cs="Times New Roman"/>
          <w:sz w:val="32"/>
          <w:szCs w:val="32"/>
        </w:rPr>
        <w:t>　对船舶污染事故损害赔偿的争议，当事人可以请求海事管理机构调解，也可以向仲裁机构申请仲裁或者向人民法院提起民事诉讼。</w:t>
      </w:r>
    </w:p>
    <w:p>
      <w:pPr>
        <w:pStyle w:val="3"/>
        <w:bidi w:val="0"/>
      </w:pPr>
      <w:r>
        <w:t>第八章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w:t>
      </w:r>
      <w:r>
        <w:rPr>
          <w:rFonts w:ascii="Times New Roman" w:hAnsi="Times New Roman" w:eastAsia="仿宋_GB2312" w:cs="Times New Roman"/>
          <w:sz w:val="32"/>
          <w:szCs w:val="32"/>
        </w:rPr>
        <w:t>　船舶、有关作业单位违反本条例规定的，海事管理机构应当责令改正；拒不改正的，海事管理机构可以责令停止作业、强制卸载，禁止船舶进出港口、靠泊、过境停留，或者责令停航、改航、离境、驶向指定地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w:t>
      </w:r>
      <w:r>
        <w:rPr>
          <w:rFonts w:ascii="Times New Roman" w:hAnsi="Times New Roman" w:eastAsia="仿宋_GB2312" w:cs="Times New Roman"/>
          <w:sz w:val="32"/>
          <w:szCs w:val="32"/>
        </w:rPr>
        <w:t>　违反本条例的规定，船舶的结构不符合国家有关防治船舶污染海洋环境的技术规范或者有关国际条约要求的，由海事管理机构处10万元以上30万元以下的罚款。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w:t>
      </w:r>
      <w:r>
        <w:rPr>
          <w:rFonts w:ascii="Times New Roman" w:hAnsi="Times New Roman" w:eastAsia="仿宋_GB2312" w:cs="Times New Roman"/>
          <w:sz w:val="32"/>
          <w:szCs w:val="32"/>
        </w:rPr>
        <w:t>　违反本条例的规定，有下列情形之一的，由海事管理机构依照《中华人民共和国海洋环境保护法》有关规定予以处罚：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(一)船舶未取得并随船携带防治船舶污染海洋环境的证书、文书的；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(二)船舶、港口、码头、装卸站未配备防治污染设备、器材的；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(三)船舶向海域排放本条例禁止排放的污染物的；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(四)船舶未如实记录污染物处置情况的；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(五)船舶超过标准向海域排放污染物的；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(六)从事船舶水上拆解作业，造成海洋环境污染损害的。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w:t>
      </w:r>
      <w:r>
        <w:rPr>
          <w:rFonts w:ascii="Times New Roman" w:hAnsi="Times New Roman" w:eastAsia="仿宋_GB2312" w:cs="Times New Roman"/>
          <w:sz w:val="32"/>
          <w:szCs w:val="32"/>
        </w:rPr>
        <w:t>　违反本条例的规定，船舶未按照规定在船舶上留存船舶污染物处置记录，或者船舶污染物处置记录与船舶运行过程中产生的污染物数量不符合的，由海事管理机构处2万元以上10万元以下的罚款。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w:t>
      </w:r>
      <w:r>
        <w:rPr>
          <w:rFonts w:ascii="Times New Roman" w:hAnsi="Times New Roman" w:eastAsia="仿宋_GB2312" w:cs="Times New Roman"/>
          <w:sz w:val="32"/>
          <w:szCs w:val="32"/>
        </w:rPr>
        <w:t>　违反本条例的规定，船舶污染物接收单位从事船舶垃圾、残油、含油污水、含有毒有害物质污水接收作业，未编制作业方案、遵守相关操作规程、采取必要的防污染措施的，由海事管理机构处1万元以上5万元以下的罚款；造成海洋环境污染的，处5万元以上25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w:t>
      </w:r>
      <w:r>
        <w:rPr>
          <w:rFonts w:ascii="Times New Roman" w:hAnsi="Times New Roman" w:eastAsia="仿宋_GB2312" w:cs="Times New Roman"/>
          <w:sz w:val="32"/>
          <w:szCs w:val="32"/>
        </w:rPr>
        <w:t>　违反本条例的规定，船舶污染物接收单位未按照规定向海事管理机构报告船舶污染物接收情况，或者未按照规定向船舶出具污染物接收单证，或者未按照规定将船舶污染物的接收和处理情况报海事管理机构备案的，由海事管理机构处2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w:t>
      </w:r>
      <w:r>
        <w:rPr>
          <w:rFonts w:ascii="Times New Roman" w:hAnsi="Times New Roman" w:eastAsia="仿宋_GB2312" w:cs="Times New Roman"/>
          <w:sz w:val="32"/>
          <w:szCs w:val="32"/>
        </w:rPr>
        <w:t>　违反本条例的规定，有下列情形之一的，由海事管理机构处2000元以上1万元以下的罚款：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(一)船舶未按照规定保存污染物接收单证的；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(二)船舶燃油供给单位未如实填写燃油供受单证的；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(三)船舶燃油供给单位未按照规定向船舶提供燃油供受单证和燃油样品的；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(四)船舶和船舶燃油供给单位未按照规定保存燃油供受单证和燃油样品的。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w:t>
      </w:r>
      <w:r>
        <w:rPr>
          <w:rFonts w:ascii="Times New Roman" w:hAnsi="Times New Roman" w:eastAsia="仿宋_GB2312" w:cs="Times New Roman"/>
          <w:sz w:val="32"/>
          <w:szCs w:val="32"/>
        </w:rPr>
        <w:t>　违反本条例的规定，有下列情形之一的，由海事管理机构处2万元以上10万元以下的罚款：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(一)载运污染危害性货物的船舶不符合污染危害性货物适载要求的；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(二)载运污染危害性货物的船舶未在具有相应安全装卸和污染物处理能力的码头、装卸站进行装卸作业的；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(三)货物所有人或者代理人未按照规定对污染危害性不明的货物进行危害性评估的。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w:t>
      </w:r>
      <w:r>
        <w:rPr>
          <w:rFonts w:ascii="Times New Roman" w:hAnsi="Times New Roman" w:eastAsia="仿宋_GB2312" w:cs="Times New Roman"/>
          <w:sz w:val="32"/>
          <w:szCs w:val="32"/>
        </w:rPr>
        <w:t>　违反本条例的规定，未经海事管理机构批准，船舶载运污染危害性货物进出港口、过境停留或者过驳作业的，由海事管理机构处1万元以上5万元以下的罚款。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w:t>
      </w:r>
      <w:r>
        <w:rPr>
          <w:rFonts w:ascii="Times New Roman" w:hAnsi="Times New Roman" w:eastAsia="仿宋_GB2312" w:cs="Times New Roman"/>
          <w:sz w:val="32"/>
          <w:szCs w:val="32"/>
        </w:rPr>
        <w:t>　违反本条例的规定，有下列情形之一的，由海事管理机构处2万元以上10万元以下的罚款：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(一)船舶发生事故沉没，船舶所有人或者经营人未及时向海事管理机构报告船舶燃油、污染危害性货物以及其他污染物的性质、数量、种类、装载位置等情况的；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(二)船舶发生事故沉没，船舶所有人或者经营人未及时采取措施清除船舶燃油、污染危害性货物以及其他污染物的。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w:t>
      </w:r>
      <w:r>
        <w:rPr>
          <w:rFonts w:ascii="Times New Roman" w:hAnsi="Times New Roman" w:eastAsia="仿宋_GB2312" w:cs="Times New Roman"/>
          <w:sz w:val="32"/>
          <w:szCs w:val="32"/>
        </w:rPr>
        <w:t>　违反本条例的规定，有下列情形之一的，由海事管理机构处1万元以上5万元以下的罚款：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(一)载运散装液体污染危害性货物的船舶和1万总吨以上的其他船舶，其经营人未按照规定签订污染清除作业协议的；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(二)污染清除作业单位不符合国家有关技术规范从事污染清除作业的。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第六十七条</w:t>
      </w:r>
      <w:r>
        <w:rPr>
          <w:rFonts w:ascii="Times New Roman" w:hAnsi="Times New Roman" w:eastAsia="仿宋_GB2312" w:cs="Times New Roman"/>
          <w:sz w:val="32"/>
          <w:szCs w:val="32"/>
        </w:rPr>
        <w:t>　违反本条例的规定，发生船舶污染事故，船舶、有关作业单位未立即启动应急预案的，对船舶、有关作业单位，由海事管理机构处2万元以上10万元以下的罚款；对直接负责的主管人员和其他直接责任人员，由海事管理机构处1万元以上2万元以下的罚款。直接负责的主管人员和其他直接责任人员属于船员的，并处给予暂扣适任证书或者其他有关证件1个月至3个月的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第六十八条</w:t>
      </w:r>
      <w:r>
        <w:rPr>
          <w:rFonts w:ascii="Times New Roman" w:hAnsi="Times New Roman" w:eastAsia="仿宋_GB2312" w:cs="Times New Roman"/>
          <w:sz w:val="32"/>
          <w:szCs w:val="32"/>
        </w:rPr>
        <w:t>　违反本条例的规定，发生船舶污染事故，船舶、有关作业单位迟报、漏报事故的，对船舶、有关作业单位，由海事管理机构处5万元以上25万元以下的罚款；对直接负责的主管人员和其他直接责任人员，由海事管理机构处1万元以上5万元以下的罚款。直接负责的主管人员和其他直接责任人员属于船员的，并处给予暂扣适任证书或者其他有关证件3个月至6个月的处罚。瞒报、谎报事故的，对船舶、有关作业单位，由海事管理机构处25万元以上50万元以下的罚款；对直接负责的主管人员和其他直接责任人员，由海事管理机构处5万元以上10万元以下的罚款。直接负责的主管人员和其他直接责任人员属于船员的，并处给予吊销适任证书或者其他有关证件的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第六十九条</w:t>
      </w:r>
      <w:r>
        <w:rPr>
          <w:rFonts w:ascii="Times New Roman" w:hAnsi="Times New Roman" w:eastAsia="仿宋_GB2312" w:cs="Times New Roman"/>
          <w:sz w:val="32"/>
          <w:szCs w:val="32"/>
        </w:rPr>
        <w:t>　违反本条例的规定，未按照国家规定的标准使用消油剂的，由海事管理机构对船舶或者使用单位处1万元以上5万元以下的罚款。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第七十条</w:t>
      </w:r>
      <w:r>
        <w:rPr>
          <w:rFonts w:ascii="Times New Roman" w:hAnsi="Times New Roman" w:eastAsia="仿宋_GB2312" w:cs="Times New Roman"/>
          <w:sz w:val="32"/>
          <w:szCs w:val="32"/>
        </w:rPr>
        <w:t>　违反本条例的规定，船舶污染事故的当事人和其他有关人员，未如实向组织事故调查处理的机关或者海事管理机构反映情况和提供资料，伪造、隐匿、毁灭证据或者以其他方式妨碍调查取证的，由海事管理机构处1万元以上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第七十一条</w:t>
      </w:r>
      <w:r>
        <w:rPr>
          <w:rFonts w:ascii="Times New Roman" w:hAnsi="Times New Roman" w:eastAsia="仿宋_GB2312" w:cs="Times New Roman"/>
          <w:sz w:val="32"/>
          <w:szCs w:val="32"/>
        </w:rPr>
        <w:t>　违反本条例的规定，船舶所有人有下列情形之一的，由海事管理机构责令改正，可以处5万元以下的罚款；拒不改正的，处5万元以上25万元以下的罚款：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(一)在中华人民共和国管辖海域内航行的船舶，其所有人未按照规定投保船舶油污损害民事责任保险或者取得相应的财务担保的；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(二)船舶所有人投保船舶油污损害民事责任保险或者取得的财务担保的额度低于《中华人民共和国海商法》、中华人民共和国缔结或者参加的有关国际条约规定的油污赔偿限额的。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第七十二条</w:t>
      </w:r>
      <w:r>
        <w:rPr>
          <w:rFonts w:ascii="Times New Roman" w:hAnsi="Times New Roman" w:eastAsia="仿宋_GB2312" w:cs="Times New Roman"/>
          <w:sz w:val="32"/>
          <w:szCs w:val="32"/>
        </w:rPr>
        <w:t>　违反本条例的规定，在中华人民共和国管辖水域接收海上运输的持久性油类物质货物的货物所有人或者代理人，未按照规定缴纳船舶油污损害赔偿基金的，由海事管理机构责令改正；拒不改正的，可以停止其接收的持久性油类物质货物在中华人民共和国管辖水域进行装卸、过驳作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货物所有人或者代理人逾期未缴纳船舶油污损害赔偿基金的，应当自应缴之日起按日加缴未缴额的万分之五的滞纳金。</w:t>
      </w:r>
    </w:p>
    <w:p>
      <w:pPr>
        <w:pStyle w:val="3"/>
        <w:bidi w:val="0"/>
      </w:pPr>
      <w:r>
        <w:t>第九章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第七十三条</w:t>
      </w:r>
      <w:r>
        <w:rPr>
          <w:rFonts w:ascii="Times New Roman" w:hAnsi="Times New Roman" w:eastAsia="仿宋_GB2312" w:cs="Times New Roman"/>
          <w:sz w:val="32"/>
          <w:szCs w:val="32"/>
        </w:rPr>
        <w:t>　中华人民共和国缔结或者参加的国际条约对防治船舶及其有关作业活动污染海洋环境有规定的，适用国际条约的规定。但是，中华人民共和国声明保留的条款除外。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第七十四条</w:t>
      </w:r>
      <w:r>
        <w:rPr>
          <w:rFonts w:ascii="Times New Roman" w:hAnsi="Times New Roman" w:eastAsia="仿宋_GB2312" w:cs="Times New Roman"/>
          <w:sz w:val="32"/>
          <w:szCs w:val="32"/>
        </w:rPr>
        <w:t>　县级以上人民政府渔业主管部门负责渔港水域内非军事船舶和渔港水域外渔业船舶污染海洋环境的监督管理，负责保护渔业水域生态环境工作，负责调查处理《中华人民共和国海洋环境保护法》第五条第四款规定的渔业污染事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第七十五条</w:t>
      </w:r>
      <w:r>
        <w:rPr>
          <w:rFonts w:ascii="Times New Roman" w:hAnsi="Times New Roman" w:eastAsia="仿宋_GB2312" w:cs="Times New Roman"/>
          <w:sz w:val="32"/>
          <w:szCs w:val="32"/>
        </w:rPr>
        <w:t>　军队环境保护部门负责军事船舶污染海洋环境的监督管理及污染事故的调查处理。</w:t>
      </w:r>
    </w:p>
    <w:p>
      <w:pPr>
        <w:pStyle w:val="10"/>
        <w:ind w:firstLine="640" w:firstLineChars="200"/>
        <w:rPr>
          <w:rFonts w:hint="eastAsia" w:ascii="方正楷体_GBK" w:hAnsi="方正楷体_GBK" w:eastAsia="方正楷体_GBK" w:cs="方正楷体_GBK"/>
          <w:sz w:val="32"/>
          <w:szCs w:val="32"/>
          <w:lang w:eastAsia="zh-CN"/>
        </w:rPr>
      </w:pPr>
      <w:r>
        <w:rPr>
          <w:rFonts w:ascii="Times New Roman" w:hAnsi="Times New Roman" w:eastAsia="黑体" w:cs="Times New Roman"/>
          <w:sz w:val="32"/>
          <w:szCs w:val="32"/>
        </w:rPr>
        <w:t>第七十六条</w:t>
      </w:r>
      <w:r>
        <w:rPr>
          <w:rFonts w:ascii="Times New Roman" w:hAnsi="Times New Roman" w:eastAsia="仿宋_GB2312" w:cs="Times New Roman"/>
          <w:sz w:val="32"/>
          <w:szCs w:val="32"/>
        </w:rPr>
        <w:t>　本条例自2010年3月1日起施行。1983年12月29日国务院发布的《中华人民共和国防止船舶污染海域管理条例》同时废止。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A13A68"/>
    <w:rsid w:val="1ABC528A"/>
    <w:rsid w:val="1BAF2172"/>
    <w:rsid w:val="1BE76283"/>
    <w:rsid w:val="1C9212F7"/>
    <w:rsid w:val="1D3C1240"/>
    <w:rsid w:val="1D721751"/>
    <w:rsid w:val="1DA140F8"/>
    <w:rsid w:val="1DCA1DED"/>
    <w:rsid w:val="1FD764D6"/>
    <w:rsid w:val="1FE16FBA"/>
    <w:rsid w:val="2037230C"/>
    <w:rsid w:val="2096095A"/>
    <w:rsid w:val="20D86240"/>
    <w:rsid w:val="21CE0F2E"/>
    <w:rsid w:val="221D0BEA"/>
    <w:rsid w:val="22D25CC3"/>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9365904"/>
    <w:rsid w:val="2A8D0D45"/>
    <w:rsid w:val="2B01664D"/>
    <w:rsid w:val="2B8A213A"/>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8651841"/>
    <w:rsid w:val="386D21AD"/>
    <w:rsid w:val="387E7233"/>
    <w:rsid w:val="38DB704A"/>
    <w:rsid w:val="39C71577"/>
    <w:rsid w:val="3A7915E5"/>
    <w:rsid w:val="3B1265AF"/>
    <w:rsid w:val="3B596812"/>
    <w:rsid w:val="3BA0652C"/>
    <w:rsid w:val="3C1D773A"/>
    <w:rsid w:val="3C372D12"/>
    <w:rsid w:val="3CA23060"/>
    <w:rsid w:val="3CAF6F9F"/>
    <w:rsid w:val="3CDF39C7"/>
    <w:rsid w:val="3D762392"/>
    <w:rsid w:val="3DFC6899"/>
    <w:rsid w:val="3E3675FB"/>
    <w:rsid w:val="3EEC1919"/>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793996"/>
    <w:rsid w:val="47A250A3"/>
    <w:rsid w:val="48AC4D69"/>
    <w:rsid w:val="494B3B16"/>
    <w:rsid w:val="49C224BB"/>
    <w:rsid w:val="4A4F5FBC"/>
    <w:rsid w:val="4A732A37"/>
    <w:rsid w:val="4AD87480"/>
    <w:rsid w:val="4B2E2D61"/>
    <w:rsid w:val="4B9B3830"/>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4D7776"/>
    <w:rsid w:val="5E900D37"/>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9C0E8F"/>
    <w:rsid w:val="65152017"/>
    <w:rsid w:val="652E7954"/>
    <w:rsid w:val="65532802"/>
    <w:rsid w:val="65835492"/>
    <w:rsid w:val="65BF6566"/>
    <w:rsid w:val="665D25F4"/>
    <w:rsid w:val="66E50FB1"/>
    <w:rsid w:val="674048E2"/>
    <w:rsid w:val="67D71794"/>
    <w:rsid w:val="68426F20"/>
    <w:rsid w:val="68462A31"/>
    <w:rsid w:val="68715924"/>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FB06AD"/>
    <w:rsid w:val="7D0E2676"/>
    <w:rsid w:val="7E600C51"/>
    <w:rsid w:val="7E6C694C"/>
    <w:rsid w:val="7E8622B0"/>
    <w:rsid w:val="7ED17F92"/>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2019-12-25T11:43:06Z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