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7CD51">
      <w:pPr>
        <w:pStyle w:val="3"/>
        <w:jc w:val="center"/>
        <w:rPr>
          <w:rFonts w:hint="eastAsia" w:ascii="Times New Roman" w:hAnsi="Times New Roman" w:cs="Times New Roman"/>
          <w:sz w:val="44"/>
          <w:szCs w:val="44"/>
        </w:rPr>
      </w:pPr>
    </w:p>
    <w:p w14:paraId="715F9169">
      <w:pPr>
        <w:pStyle w:val="3"/>
        <w:jc w:val="center"/>
        <w:rPr>
          <w:rFonts w:hint="eastAsia" w:ascii="Times New Roman" w:hAnsi="Times New Roman" w:cs="Times New Roman"/>
          <w:sz w:val="44"/>
          <w:szCs w:val="44"/>
          <w:lang w:eastAsia="zh-CN"/>
        </w:rPr>
      </w:pPr>
      <w:r>
        <w:rPr>
          <w:rFonts w:hint="eastAsia" w:ascii="Times New Roman" w:hAnsi="Times New Roman" w:cs="Times New Roman"/>
          <w:sz w:val="44"/>
          <w:szCs w:val="44"/>
          <w:lang w:eastAsia="zh-CN"/>
        </w:rPr>
        <w:t>黄河水</w:t>
      </w:r>
      <w:bookmarkStart w:id="0" w:name="_GoBack"/>
      <w:bookmarkEnd w:id="0"/>
      <w:r>
        <w:rPr>
          <w:rFonts w:hint="eastAsia" w:ascii="Times New Roman" w:hAnsi="Times New Roman" w:cs="Times New Roman"/>
          <w:sz w:val="44"/>
          <w:szCs w:val="44"/>
          <w:lang w:eastAsia="zh-CN"/>
        </w:rPr>
        <w:t>量调度条例</w:t>
      </w:r>
    </w:p>
    <w:p w14:paraId="79CBDFB2">
      <w:pPr>
        <w:pStyle w:val="3"/>
        <w:ind w:firstLine="640" w:firstLineChars="200"/>
        <w:rPr>
          <w:rFonts w:hint="eastAsia" w:ascii="Times New Roman" w:hAnsi="Times New Roman" w:eastAsia="楷体_GB2312" w:cs="Times New Roman"/>
          <w:sz w:val="32"/>
          <w:szCs w:val="32"/>
        </w:rPr>
      </w:pPr>
    </w:p>
    <w:p w14:paraId="72809FC1">
      <w:pPr>
        <w:pStyle w:val="3"/>
        <w:ind w:firstLine="664" w:firstLineChars="200"/>
        <w:rPr>
          <w:rFonts w:hint="eastAsia" w:ascii="楷体_GB2312" w:hAnsi="楷体_GB2312" w:eastAsia="楷体_GB2312" w:cs="楷体_GB2312"/>
          <w:spacing w:val="6"/>
          <w:sz w:val="32"/>
          <w:szCs w:val="32"/>
        </w:rPr>
      </w:pPr>
      <w:r>
        <w:rPr>
          <w:rFonts w:hint="eastAsia" w:ascii="楷体_GB2312" w:hAnsi="楷体_GB2312" w:eastAsia="楷体_GB2312" w:cs="楷体_GB2312"/>
          <w:spacing w:val="6"/>
          <w:sz w:val="32"/>
          <w:szCs w:val="32"/>
        </w:rPr>
        <w:t>(2006年7月24日中华人民共和国国务院令第472号公布　根据2026年8月8日《国务院关于修改和废止部分行政法规的决定》修订)</w:t>
      </w:r>
    </w:p>
    <w:p w14:paraId="5C553D29">
      <w:pPr>
        <w:pStyle w:val="2"/>
        <w:jc w:val="center"/>
        <w:rPr>
          <w:rFonts w:ascii="方正黑体_GBK" w:eastAsia="方正黑体_GBK"/>
        </w:rPr>
      </w:pPr>
      <w:r>
        <w:rPr>
          <w:rFonts w:hint="eastAsia" w:ascii="方正黑体_GBK" w:hAnsi="Times New Roman" w:eastAsia="方正黑体_GBK" w:cs="Times New Roman"/>
        </w:rPr>
        <w:t>第一章　总</w:t>
      </w:r>
      <w:r>
        <w:rPr>
          <w:rFonts w:ascii="Times New Roman" w:hAnsi="Times New Roman" w:cs="Times New Roman"/>
          <w:sz w:val="32"/>
          <w:szCs w:val="32"/>
        </w:rPr>
        <w:t>　　</w:t>
      </w:r>
      <w:r>
        <w:rPr>
          <w:rFonts w:hint="eastAsia" w:ascii="方正黑体_GBK" w:hAnsi="Times New Roman" w:eastAsia="方正黑体_GBK" w:cs="Times New Roman"/>
        </w:rPr>
        <w:t>则</w:t>
      </w:r>
    </w:p>
    <w:p w14:paraId="6BBCC14E">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为加强黄河水量的统一调度，实现黄河水资源的可持续利用，促进黄河流域及相关地区经济社会发展和生态环境的改善，根据《中华人民共和国水法》，制定本条例。</w:t>
      </w:r>
    </w:p>
    <w:p w14:paraId="25306378">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黄河流域的青海省、四川省、甘肃省、宁夏回族自治区、内蒙古自治区、陕西省、山西省、河南省、山东省，以及国务院批准取用黄河水的河北省、天津市(以下称十一省区市)的黄河水量调度和管理，适用本条例。</w:t>
      </w:r>
    </w:p>
    <w:p w14:paraId="2D5B3B82">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国家对黄河水量实行统一调度，遵循总量控制、断面流量控制、分级管理、分级负责的原则。</w:t>
      </w:r>
    </w:p>
    <w:p w14:paraId="1CB6EBD7">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实施黄河水量调度，应当首先满足城乡居民生活用水的需要，合理安排农业、工业、生态环境用水，防止黄河断流。</w:t>
      </w:r>
    </w:p>
    <w:p w14:paraId="58B11B8B">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黄河水量调度计划、调度方案和调度指令的执行，实行地方人民政府行政首长负责制和黄河水利委员会及其所属管理机构以及水库主管部门或者单位主要领导负责制。</w:t>
      </w:r>
    </w:p>
    <w:p w14:paraId="4A21CD90">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国务院水行政主管部门和国务院发展改革主管部门负责组织、协调、监督、指导黄河水量调度工作。</w:t>
      </w:r>
    </w:p>
    <w:p w14:paraId="256FB64B">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黄河水利委员会依照本条例的规定负责黄河水量调度的组织实施和监督检查工作。</w:t>
      </w:r>
    </w:p>
    <w:p w14:paraId="0429AEAE">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有关县级以上地方人民政府水行政主管部门和黄河水利委员会所属管理机构，依照本条例的规定负责所辖范围内黄河水量调度的实施和监督检查工作。</w:t>
      </w:r>
    </w:p>
    <w:p w14:paraId="3F540D6F">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在黄河水量调度工作中做出显著成绩的单位和个人，由有关县级以上人民政府或者有关部门给予奖励。</w:t>
      </w:r>
    </w:p>
    <w:p w14:paraId="5C2306BD">
      <w:pPr>
        <w:pStyle w:val="2"/>
        <w:jc w:val="center"/>
        <w:rPr>
          <w:rFonts w:ascii="方正黑体_GBK" w:eastAsia="方正黑体_GBK"/>
        </w:rPr>
      </w:pPr>
      <w:r>
        <w:rPr>
          <w:rFonts w:hint="eastAsia" w:ascii="方正黑体_GBK" w:hAnsi="Times New Roman" w:eastAsia="方正黑体_GBK" w:cs="Times New Roman"/>
        </w:rPr>
        <w:t>第二章　水</w:t>
      </w:r>
      <w:r>
        <w:t xml:space="preserve"> </w:t>
      </w:r>
      <w:r>
        <w:rPr>
          <w:rFonts w:hint="eastAsia" w:ascii="方正黑体_GBK" w:hAnsi="Times New Roman" w:eastAsia="方正黑体_GBK" w:cs="Times New Roman"/>
        </w:rPr>
        <w:t>量</w:t>
      </w:r>
      <w:r>
        <w:t xml:space="preserve"> </w:t>
      </w:r>
      <w:r>
        <w:rPr>
          <w:rFonts w:hint="eastAsia" w:ascii="方正黑体_GBK" w:hAnsi="Times New Roman" w:eastAsia="方正黑体_GBK" w:cs="Times New Roman"/>
        </w:rPr>
        <w:t>分</w:t>
      </w:r>
      <w:r>
        <w:t xml:space="preserve"> </w:t>
      </w:r>
      <w:r>
        <w:rPr>
          <w:rFonts w:hint="eastAsia" w:ascii="方正黑体_GBK" w:hAnsi="Times New Roman" w:eastAsia="方正黑体_GBK" w:cs="Times New Roman"/>
        </w:rPr>
        <w:t>配</w:t>
      </w:r>
    </w:p>
    <w:p w14:paraId="3D8D506D">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黄河水量分配方案，由黄河水利委员会商十一省区市人民政府制订，经国务院发展改革主管部门和国务院水行政主管部门审查，报国务院批准。</w:t>
      </w:r>
    </w:p>
    <w:p w14:paraId="748F8CF3">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国务院批准的黄河水量分配方案，是黄河水量调度的依据，有关地方人民政府和黄河水利委员会及其所属管理机构必须执行。</w:t>
      </w:r>
    </w:p>
    <w:p w14:paraId="79F91872">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制订黄河水量分配方案，应当遵循下列原则：</w:t>
      </w:r>
    </w:p>
    <w:p w14:paraId="7BA25E40">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(一)依据流域规划和水中长期供求规划；</w:t>
      </w:r>
    </w:p>
    <w:p w14:paraId="7C3BEC57">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(二)坚持计划用水、节约用水；</w:t>
      </w:r>
    </w:p>
    <w:p w14:paraId="327E935E">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(三)充分考虑黄河流域水资源条件，取用水现状、供需情况及发展趋势，发挥黄河水资源的综合效益；</w:t>
      </w:r>
    </w:p>
    <w:p w14:paraId="70CE4E07">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(四)统筹兼顾生活、生产、生态环境用水；</w:t>
      </w:r>
    </w:p>
    <w:p w14:paraId="48800A08">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(五)正确处理上下游、左右岸的关系；</w:t>
      </w:r>
    </w:p>
    <w:p w14:paraId="42D511BC">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(六)科学确定河道输沙入海水量和可供水量。</w:t>
      </w:r>
    </w:p>
    <w:p w14:paraId="112DB27D">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前款所称可供水量，是指在黄河流域干、支流多年平均天然年径流量中，除必需的河道输沙入海水量外，可供城乡居民生活、农业、工业及河道外生态环境用水的最大水量。</w:t>
      </w:r>
    </w:p>
    <w:p w14:paraId="08BCD6D4">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黄河水量分配方案需要调整的，应当由黄河水利委员会商十一省区市人民政府提出方案，经国务院发展改革主管部门和国务院水行政主管部门审查，报国务院批准。</w:t>
      </w:r>
    </w:p>
    <w:p w14:paraId="557923A9">
      <w:pPr>
        <w:pStyle w:val="2"/>
        <w:jc w:val="center"/>
        <w:rPr>
          <w:rFonts w:ascii="方正黑体_GBK" w:eastAsia="方正黑体_GBK"/>
        </w:rPr>
      </w:pPr>
      <w:r>
        <w:rPr>
          <w:rFonts w:hint="eastAsia" w:ascii="方正黑体_GBK" w:hAnsi="Times New Roman" w:eastAsia="方正黑体_GBK" w:cs="Times New Roman"/>
        </w:rPr>
        <w:t>第三章　水</w:t>
      </w:r>
      <w:r>
        <w:t xml:space="preserve"> </w:t>
      </w:r>
      <w:r>
        <w:rPr>
          <w:rFonts w:hint="eastAsia" w:ascii="方正黑体_GBK" w:hAnsi="Times New Roman" w:eastAsia="方正黑体_GBK" w:cs="Times New Roman"/>
        </w:rPr>
        <w:t>量</w:t>
      </w:r>
      <w:r>
        <w:t xml:space="preserve"> </w:t>
      </w:r>
      <w:r>
        <w:rPr>
          <w:rFonts w:hint="eastAsia" w:ascii="方正黑体_GBK" w:hAnsi="Times New Roman" w:eastAsia="方正黑体_GBK" w:cs="Times New Roman"/>
        </w:rPr>
        <w:t>调</w:t>
      </w:r>
      <w:r>
        <w:t xml:space="preserve"> </w:t>
      </w:r>
      <w:r>
        <w:rPr>
          <w:rFonts w:hint="eastAsia" w:ascii="方正黑体_GBK" w:hAnsi="Times New Roman" w:eastAsia="方正黑体_GBK" w:cs="Times New Roman"/>
        </w:rPr>
        <w:t>度</w:t>
      </w:r>
    </w:p>
    <w:p w14:paraId="43640963">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黄河水量调度实行年度水量调度计划与月、旬水量调度方案和实时调度指令相结合的调度方式。</w:t>
      </w:r>
    </w:p>
    <w:p w14:paraId="541BF6C9">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黄河水量调度年度为当年7月1日至次年6月30日。</w:t>
      </w:r>
    </w:p>
    <w:p w14:paraId="1D929191">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黄河干、支流的年度和月用水计划建议与水库运行计划建议，由十一省区市人民政府水行政主管部门和河南、山东黄河河务局以及水库管理单位，按照调度管理权限和规定的时间向黄河水利委员会申报。河南、山东黄河河务局申报黄河干流的用水计划建议时，应当商河南省、山东省人民政府水行政主管部门。</w:t>
      </w:r>
    </w:p>
    <w:p w14:paraId="7CFDA46C">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年度水量调度计划由黄河水利委员会商十一省区市人民政府水行政主管部门和河南、山东黄河河务局以及水库管理单位制订，报国务院水行政主管部门批准并下达，同时抄送国务院发展改革主管部门。</w:t>
      </w:r>
    </w:p>
    <w:p w14:paraId="4A41A938">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经批准的年度水量调度计划，是确定月、旬水量调度方案和年度黄河干、支流用水量控制指标的依据。年度水量调度计划应当纳入本级国民经济和社会发展年度计划。</w:t>
      </w:r>
    </w:p>
    <w:p w14:paraId="0F9B19EA">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年度水量调度计划，应当依据经批准的黄河水量分配方案和年度预测来水量、水库蓄水量，按照同比例丰增枯减、多年调节水库蓄丰补枯的原则，在综合平衡申报的年度用水计划建议和水库运行计划建议的基础上制订。</w:t>
      </w:r>
    </w:p>
    <w:p w14:paraId="1B52084B">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黄河水利委员会应当根据经批准的年度水量调度计划和申报的月用水计划建议、水库运行计划建议，制订并下达月水量调度方案；用水高峰时，应当根据需要制订并下达旬水量调度方案。</w:t>
      </w:r>
    </w:p>
    <w:p w14:paraId="3AA98C38">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黄河水利委员会根据实时水情、雨情、旱情、墒情、水库蓄水量及用水情况，可以对已下达的月、旬水量调度方案作出调整，下达实时调度指令。</w:t>
      </w:r>
    </w:p>
    <w:p w14:paraId="49F4C35D">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青海省、四川省、甘肃省、宁夏回族自治区、内蒙古自治区、陕西省、山西省境内黄河干、支流的水量，分别由各省级人民政府水行政主管部门负责调度；河南省、山东省境内黄河干流的水量，分别由河南、山东黄河河务局负责调度，支流的水量，分别由河南省、山东省人民政府水行政主管部门负责调度；调入河北省、天津市的黄河水量，分别由河北省、天津市人民政府水行政主管部门负责调度。</w:t>
      </w:r>
    </w:p>
    <w:p w14:paraId="3185EF96">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市、县级人民政府水行政主管部门和黄河水利委员会所属管理机构，负责所辖范围内分配水量的调度。</w:t>
      </w:r>
    </w:p>
    <w:p w14:paraId="47FBEB26">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实施黄河水量调度，必须遵守经批准的年度水量调度计划和下达的月、旬水量调度方案以及实时调度指令。</w:t>
      </w:r>
    </w:p>
    <w:p w14:paraId="747EC0EF">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龙羊峡、刘家峡、万家寨、三门峡、小浪底、西霞院、故县、东平湖等水库，由黄河水利委员会组织实施水量调度，下达月、旬水量调度方案及实时调度指令；必要时，黄河水利委员会可以对大峡、沙坡头、青铜峡、三盛公、陆浑等水库组织实施水量调度，下达实时调度指令。</w:t>
      </w:r>
    </w:p>
    <w:p w14:paraId="58BF003B">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水库主管部门或者单位具体负责实施所辖水库的水量调度，并按照水量调度指令做好发电计划的安排。</w:t>
      </w:r>
    </w:p>
    <w:p w14:paraId="75BFA4AF">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黄河水量调度实行水文断面流量控制。黄河干流水文断面的流量控制指标，由黄河水利委员会规定；重要支流水文断面及其流量控制指标，由黄河水利委员会会同黄河流域有关省、自治区人民政府水行政主管部门规定。</w:t>
      </w:r>
    </w:p>
    <w:p w14:paraId="6B42F241">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青海省、甘肃省、宁夏回族自治区、内蒙古自治区、河南省、山东省人民政府，分别负责并确保循化、下河沿、石嘴山、头道拐、高村、利津水文断面的下泄流量符合规定的控制指标；陕西省和山西省人民政府共同负责并确保潼关水文断面的下泄流量符合规定的控制指标。</w:t>
      </w:r>
    </w:p>
    <w:p w14:paraId="5ABE2C95">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龙羊峡、刘家峡、万家寨、三门峡、小浪底水库的主管部门或者单位，分别负责并确保贵德、小川、万家寨、三门峡、小浪底水文断面的出库流量符合规定的控制指标。</w:t>
      </w:r>
    </w:p>
    <w:p w14:paraId="32D3057F">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黄河干、支流省际或者重要控制断面和出库流量控制断面的下泄流量以国家设立的水文站监测数据为依据。对水文监测数据有争议的，以黄河水利委员会确认的水文监测数据为准。</w:t>
      </w:r>
    </w:p>
    <w:p w14:paraId="05B3AEE9">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需要在年度水量调度计划外使用其他省、自治区、直辖市计划内水量分配指标的，应当向黄河水利委员会提出申请，由黄河水利委员会组织有关各方在协商一致的基础上提出方案，报国务院水行政主管部门批准后组织实施。</w:t>
      </w:r>
    </w:p>
    <w:p w14:paraId="25EE9B02">
      <w:pPr>
        <w:pStyle w:val="2"/>
        <w:jc w:val="center"/>
        <w:rPr>
          <w:rFonts w:ascii="方正黑体_GBK" w:eastAsia="方正黑体_GBK"/>
        </w:rPr>
      </w:pPr>
      <w:r>
        <w:rPr>
          <w:rFonts w:hint="eastAsia" w:ascii="方正黑体_GBK" w:hAnsi="Times New Roman" w:eastAsia="方正黑体_GBK" w:cs="Times New Roman"/>
        </w:rPr>
        <w:t>第四章　应</w:t>
      </w:r>
      <w:r>
        <w:t xml:space="preserve"> </w:t>
      </w:r>
      <w:r>
        <w:rPr>
          <w:rFonts w:hint="eastAsia" w:ascii="方正黑体_GBK" w:hAnsi="Times New Roman" w:eastAsia="方正黑体_GBK" w:cs="Times New Roman"/>
        </w:rPr>
        <w:t>急</w:t>
      </w:r>
      <w:r>
        <w:t xml:space="preserve"> </w:t>
      </w:r>
      <w:r>
        <w:rPr>
          <w:rFonts w:hint="eastAsia" w:ascii="方正黑体_GBK" w:hAnsi="Times New Roman" w:eastAsia="方正黑体_GBK" w:cs="Times New Roman"/>
        </w:rPr>
        <w:t>调</w:t>
      </w:r>
      <w:r>
        <w:t xml:space="preserve"> </w:t>
      </w:r>
      <w:r>
        <w:rPr>
          <w:rFonts w:hint="eastAsia" w:ascii="方正黑体_GBK" w:hAnsi="Times New Roman" w:eastAsia="方正黑体_GBK" w:cs="Times New Roman"/>
        </w:rPr>
        <w:t>度</w:t>
      </w:r>
    </w:p>
    <w:p w14:paraId="227B39C3">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出现严重干旱、省际或者重要控制断面流量降至预警流量、水库运行故障、重大水污染事故等情况，可能造成供水危机、黄河断流时，黄河水利委员会应当组织实施应急调度。</w:t>
      </w:r>
    </w:p>
    <w:p w14:paraId="10B872F0">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黄河水利委员会应当商十一省区市人民政府以及水库主管部门或者单位，制订旱情紧急情况下的水量调度预案，经国务院水行政主管部门审查，报国务院或者国务院授权的部门批准。</w:t>
      </w:r>
    </w:p>
    <w:p w14:paraId="4FE934CE">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十一省区市人民政府水行政主管部门和河南、山东黄河河务局以及水库管理单位，应当根据经批准的旱情紧急情况下的水量调度预案，制订实施方案，并抄送黄河水利委员会。</w:t>
      </w:r>
    </w:p>
    <w:p w14:paraId="53A4FB7C">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出现旱情紧急情况时，经国务院水行政主管部门同意，由黄河水利委员会组织实施旱情紧急情况下的水量调度预案，并及时调整取水及水库出库流量控制指标；必要时，可以对黄河流域有关省、自治区主要取水口实行直接调度。</w:t>
      </w:r>
    </w:p>
    <w:p w14:paraId="101D037F">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县级以上地方人民政府、水库管理单位应当按照旱情紧急情况下的水量调度预案及其实施方案，合理安排用水计划，确保省际或者重要控制断面和出库流量控制断面的下泄流量符合规定的控制指标。</w:t>
      </w:r>
    </w:p>
    <w:p w14:paraId="271AA975">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出现旱情紧急情况时，十一省区市人民政府水行政主管部门和河南、山东黄河河务局以及水库管理单位，应当每日向黄河水利委员会报送取(退)水及水库蓄(泄)水情况。</w:t>
      </w:r>
    </w:p>
    <w:p w14:paraId="6AB9256A">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出现省际或者重要控制断面流量降至预警流量、水库运行故障以及重大水污染事故等情况时，黄河水利委员会及其所属管理机构、有关省级人民政府及其水行政主管部门和环境保护主管部门以及水库管理单位，应当根据需要，按照规定的权限和职责，及时采取压减取水量直至关闭取水口、实施水库应急泄流方案、加强水文监测、对排污企业实行限产或者停产等处置措施，有关部门和单位必须服从。</w:t>
      </w:r>
    </w:p>
    <w:p w14:paraId="59E95B19">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省际或者重要控制断面的预警流量，由黄河水利委员会确定。</w:t>
      </w:r>
    </w:p>
    <w:p w14:paraId="196E9509">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实施应急调度，需要动用水库死库容的，由黄河水利委员会商有关水库主管部门或者单位，制订动用水库死库容的水量调度方案，经国务院水行政主管部门审查，报国务院或者国务院授权的部门批准实施。</w:t>
      </w:r>
    </w:p>
    <w:p w14:paraId="1CC2844F">
      <w:pPr>
        <w:pStyle w:val="2"/>
        <w:jc w:val="center"/>
        <w:rPr>
          <w:rFonts w:ascii="方正黑体_GBK" w:eastAsia="方正黑体_GBK"/>
        </w:rPr>
      </w:pPr>
      <w:r>
        <w:rPr>
          <w:rFonts w:hint="eastAsia" w:ascii="方正黑体_GBK" w:hAnsi="Times New Roman" w:eastAsia="方正黑体_GBK" w:cs="Times New Roman"/>
        </w:rPr>
        <w:t>第五章　监</w:t>
      </w:r>
      <w:r>
        <w:t xml:space="preserve"> </w:t>
      </w:r>
      <w:r>
        <w:rPr>
          <w:rFonts w:hint="eastAsia" w:ascii="方正黑体_GBK" w:hAnsi="Times New Roman" w:eastAsia="方正黑体_GBK" w:cs="Times New Roman"/>
        </w:rPr>
        <w:t>督</w:t>
      </w:r>
      <w:r>
        <w:t xml:space="preserve"> </w:t>
      </w:r>
      <w:r>
        <w:rPr>
          <w:rFonts w:hint="eastAsia" w:ascii="方正黑体_GBK" w:hAnsi="Times New Roman" w:eastAsia="方正黑体_GBK" w:cs="Times New Roman"/>
        </w:rPr>
        <w:t>管</w:t>
      </w:r>
      <w:r>
        <w:t xml:space="preserve"> </w:t>
      </w:r>
      <w:r>
        <w:rPr>
          <w:rFonts w:hint="eastAsia" w:ascii="方正黑体_GBK" w:hAnsi="Times New Roman" w:eastAsia="方正黑体_GBK" w:cs="Times New Roman"/>
        </w:rPr>
        <w:t>理</w:t>
      </w:r>
    </w:p>
    <w:p w14:paraId="50351E16">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黄河水利委员会及其所属管理机构和县级以上地方人民政府水行政主管部门应当加强对所辖范围内水量调度执行情况的监督检查。</w:t>
      </w:r>
    </w:p>
    <w:p w14:paraId="13D577D8">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十一省区市人民政府水行政主管部门和河南、山东黄河河务局，应当按照国务院水行政主管部门规定的时间，向黄河水利委员会报送所辖范围内取(退)水量报表。</w:t>
      </w:r>
    </w:p>
    <w:p w14:paraId="4FCE0A12">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黄河水量调度文书格式，由黄河水利委员会编制、公布，并报国务院水行政主管部门备案。</w:t>
      </w:r>
    </w:p>
    <w:p w14:paraId="721F4DFB">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黄河水利委员会应当定期将黄河水量调度执行情况向十一省区市人民政府水行政主管部门以及水库主管部门或者单位通报，并及时向社会公告。</w:t>
      </w:r>
    </w:p>
    <w:p w14:paraId="1228BAC5">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黄河水利委员会及其所属管理机构、县级以上地方人民政府水行政主管部门，应当在各自的职责范围内实施巡回监督检查，在用水高峰时对主要取(退)水口实施重点监督检查，在特殊情况下对有关河段、水库、主要取(退)水口进行驻守监督检查；发现重点污染物排放总量超过控制指标或者水体严重污染时，应当及时通报有关人民政府环境保护主管部门。</w:t>
      </w:r>
    </w:p>
    <w:p w14:paraId="17BE9C55">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黄河水利委员会及其所属管理机构、县级以上地方人民政府水行政主管部门实施监督检查时，有权采取下列措施：</w:t>
      </w:r>
    </w:p>
    <w:p w14:paraId="6E3A376D">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(一)要求被检查单位提供有关文件和资料，进行查阅或者复制；</w:t>
      </w:r>
    </w:p>
    <w:p w14:paraId="4ABFC4EF">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(二)要求被检查单位就执行本条例的有关问题进行说明；</w:t>
      </w:r>
    </w:p>
    <w:p w14:paraId="1C91C144">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(三)进入被检查单位生产场所进行现场检查；</w:t>
      </w:r>
    </w:p>
    <w:p w14:paraId="2F10DE50">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(四)对取(退)水量进行现场监测；</w:t>
      </w:r>
    </w:p>
    <w:p w14:paraId="615D8EA9">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(五)责令被检查单位纠正违反本条例的行为。</w:t>
      </w:r>
    </w:p>
    <w:p w14:paraId="3182166A">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监督检查人员在履行监督检查职责时，应当向被检查单位或者个人出示执法证件，被检查单位或者个人应当接受和配合监督检查工作，不得拒绝或者妨碍监督检查人员依法执行公务。</w:t>
      </w:r>
    </w:p>
    <w:p w14:paraId="4C1E8B5A">
      <w:pPr>
        <w:pStyle w:val="2"/>
        <w:jc w:val="center"/>
        <w:rPr>
          <w:rFonts w:ascii="方正黑体_GBK" w:eastAsia="方正黑体_GBK"/>
        </w:rPr>
      </w:pPr>
      <w:r>
        <w:rPr>
          <w:rFonts w:hint="eastAsia" w:ascii="方正黑体_GBK" w:hAnsi="Times New Roman" w:eastAsia="方正黑体_GBK" w:cs="Times New Roman"/>
        </w:rPr>
        <w:t>第六章　法</w:t>
      </w:r>
      <w:r>
        <w:t xml:space="preserve"> </w:t>
      </w:r>
      <w:r>
        <w:rPr>
          <w:rFonts w:hint="eastAsia" w:ascii="方正黑体_GBK" w:hAnsi="Times New Roman" w:eastAsia="方正黑体_GBK" w:cs="Times New Roman"/>
        </w:rPr>
        <w:t>律</w:t>
      </w:r>
      <w:r>
        <w:t xml:space="preserve"> </w:t>
      </w:r>
      <w:r>
        <w:rPr>
          <w:rFonts w:hint="eastAsia" w:ascii="方正黑体_GBK" w:hAnsi="Times New Roman" w:eastAsia="方正黑体_GBK" w:cs="Times New Roman"/>
        </w:rPr>
        <w:t>责</w:t>
      </w:r>
      <w:r>
        <w:t xml:space="preserve"> </w:t>
      </w:r>
      <w:r>
        <w:rPr>
          <w:rFonts w:hint="eastAsia" w:ascii="方正黑体_GBK" w:hAnsi="Times New Roman" w:eastAsia="方正黑体_GBK" w:cs="Times New Roman"/>
        </w:rPr>
        <w:t>任</w:t>
      </w:r>
    </w:p>
    <w:p w14:paraId="61CFA8FE">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违反本条例规定，有下列行为之一的，对负有责任的主管人员和其他直接责任人员，由其上级主管部门、单位或者监察机关依法给予处分：</w:t>
      </w:r>
    </w:p>
    <w:p w14:paraId="1451F614">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(一)不制订年度水量调度计划的；</w:t>
      </w:r>
    </w:p>
    <w:p w14:paraId="1CD8B9DC">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(二)不及时下达月、旬水量调度方案的；</w:t>
      </w:r>
    </w:p>
    <w:p w14:paraId="46FA1DDE">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(三)不制订旱情紧急情况下的水量调度预案及其实施方案和动用水库死库容水量调度方案的。</w:t>
      </w:r>
    </w:p>
    <w:p w14:paraId="698C58F8">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违反本条例规定，有下列行为之一的，对负有责任的主管人员和其他直接责任人员，由其上级主管部门、单位或者监察机关依法给予处分；造成严重后果，构成犯罪的，依法追究刑事责任：</w:t>
      </w:r>
    </w:p>
    <w:p w14:paraId="12FB37F9">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(一)不执行年度水量调度计划和下达的月、旬水量调度方案以及实时调度指令的；</w:t>
      </w:r>
    </w:p>
    <w:p w14:paraId="43D56B8F">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(二)不执行旱情紧急情况下的水量调度预案及其实施方案、水量调度应急处置措施和动用水库死库容水量调度方案的；</w:t>
      </w:r>
    </w:p>
    <w:p w14:paraId="43C68B68">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(三)不履行监督检查职责或者发现违法行为不予查处的；</w:t>
      </w:r>
    </w:p>
    <w:p w14:paraId="0120A887">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(四)其他滥用职权、玩忽职守等违法行为。</w:t>
      </w:r>
    </w:p>
    <w:p w14:paraId="13E4D1BD">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省际或者重要控制断面下泄流量不符合规定的控制指标的，由黄河水利委员会予以通报，责令限期改正；逾期不改正的，按照控制断面下泄流量的缺水量，在下一调度时段加倍扣除；对控制断面下游水量调度产生严重影响或者造成其他严重后果的，本年度不再新增该省、自治区的取水工程项目。对负有责任的主管人员和其他直接责任人员，由其上级主管部门、单位或者监察机关依法给予处分。</w:t>
      </w:r>
    </w:p>
    <w:p w14:paraId="495176F8">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水库出库流量控制断面的下泄流量不符合规定的控制指标，对控制断面下游水量调度产生严重影响的，对负有责任的主管人员和其他直接责任人员，由其上级主管部门、单位或者监察机关依法给予处分。</w:t>
      </w:r>
    </w:p>
    <w:p w14:paraId="10084B92">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违反本条例规定，有关用水单位或者水库管理单位有下列行为之一的，由县级以上地方人民政府水行政主管部门或者黄河水利委员会及其所属管理机构按照管理权限，责令停止违法行为，给予警告，限期采取补救措施，并处2万元以上10万元以下罚款；对负有责任的主管人员和其他直接责任人员，由其上级主管部门、单位或者监察机关依法给予处分：</w:t>
      </w:r>
    </w:p>
    <w:p w14:paraId="51B0EB9C">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(一)虚假填报或者篡改上报的水文监测数据、取用水量数据或者水库运行情况等资料的；</w:t>
      </w:r>
    </w:p>
    <w:p w14:paraId="15709D6D">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(二)水库管理单位不执行水量调度方案和实时调度指令的；</w:t>
      </w:r>
    </w:p>
    <w:p w14:paraId="62191419">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(三)超计划取用水的。</w:t>
      </w:r>
    </w:p>
    <w:p w14:paraId="0D50801D">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违反本条例规定，有下列行为之一的，由公安机关依法给予治安管理处罚；构成犯罪的，依法追究刑事责任：</w:t>
      </w:r>
    </w:p>
    <w:p w14:paraId="31EAE6C8">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(一)妨碍、阻挠监督检查人员或者取用水工程管理人员依法执行公务的；</w:t>
      </w:r>
    </w:p>
    <w:p w14:paraId="7A85E86F">
      <w:pPr>
        <w:pStyle w:val="3"/>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(二)在水量调度中煽动群众闹事的。</w:t>
      </w:r>
    </w:p>
    <w:p w14:paraId="51D88324">
      <w:pPr>
        <w:pStyle w:val="2"/>
        <w:jc w:val="center"/>
        <w:rPr>
          <w:rFonts w:ascii="方正黑体_GBK" w:eastAsia="方正黑体_GBK"/>
        </w:rPr>
      </w:pPr>
      <w:r>
        <w:rPr>
          <w:rFonts w:hint="eastAsia" w:ascii="方正黑体_GBK" w:hAnsi="Times New Roman" w:eastAsia="方正黑体_GBK" w:cs="Times New Roman"/>
        </w:rPr>
        <w:t>第七章　附</w:t>
      </w:r>
      <w:r>
        <w:t>　　</w:t>
      </w:r>
      <w:r>
        <w:rPr>
          <w:rFonts w:hint="eastAsia" w:ascii="方正黑体_GBK" w:hAnsi="Times New Roman" w:eastAsia="方正黑体_GBK" w:cs="Times New Roman"/>
        </w:rPr>
        <w:t>则</w:t>
      </w:r>
    </w:p>
    <w:p w14:paraId="40E252C7">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黄河水量调度中，有关用水计划建议和水库运行计划建议申报时间，年度水量调度计划制订、下达时间，月、旬水量调度方案下达时间，取(退)水水量报表报送时间等，由国务院水行政主管部门规定。</w:t>
      </w:r>
    </w:p>
    <w:p w14:paraId="273099B8">
      <w:pPr>
        <w:pStyle w:val="3"/>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在黄河水量调度中涉及水资源保护、防洪、防凌和水污染防治的，依照《中华人民共和国生态环境法典》、《中华人民共和国黄河保护法》、《中华人民共和国水法》和《中华人民共和国防洪法》的有关规定执行。</w:t>
      </w:r>
    </w:p>
    <w:p w14:paraId="72E10FC3">
      <w:pPr>
        <w:ind w:firstLine="640" w:firstLineChars="200"/>
        <w:rPr>
          <w:rFonts w:hint="eastAsia" w:ascii="仿宋_GB2312" w:hAnsi="仿宋_GB2312" w:eastAsia="仿宋_GB2312" w:cs="仿宋_GB231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本条例自2006年8月1日起施行。</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38338">
    <w:pPr>
      <w:pStyle w:val="4"/>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path/>
          <v:fill on="f" focussize="0,0"/>
          <v:stroke on="f" weight="0.5pt" joinstyle="miter"/>
          <v:imagedata o:title=""/>
          <o:lock v:ext="edit"/>
          <v:textbox inset="0mm,0mm,0mm,0mm" style="mso-fit-shape-to-text:t;">
            <w:txbxContent>
              <w:p w14:paraId="3A1B2217">
                <w:pPr>
                  <w:pStyle w:val="4"/>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- 1 -</w:t>
                </w:r>
                <w:r>
                  <w:rPr>
                    <w:rFonts w:hint="eastAsia"/>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7816795D"/>
    <w:rsid w:val="002B7649"/>
    <w:rsid w:val="00534060"/>
    <w:rsid w:val="0074287C"/>
    <w:rsid w:val="037C36EB"/>
    <w:rsid w:val="120B3DB8"/>
    <w:rsid w:val="24C61F83"/>
    <w:rsid w:val="2CC457CE"/>
    <w:rsid w:val="342F7404"/>
    <w:rsid w:val="3D894CE1"/>
    <w:rsid w:val="43EC7D27"/>
    <w:rsid w:val="53A5521A"/>
    <w:rsid w:val="555B533F"/>
    <w:rsid w:val="5BBE1741"/>
    <w:rsid w:val="6D2F53D2"/>
    <w:rsid w:val="6E0600A4"/>
    <w:rsid w:val="78167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Ascii" w:hAnsiTheme="majorAscii" w:eastAsiaTheme="majorEastAsia" w:cstheme="majorBidi"/>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eastAsia="宋体"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5317</Words>
  <Characters>5332</Characters>
  <Lines>39</Lines>
  <Paragraphs>11</Paragraphs>
  <TotalTime>2</TotalTime>
  <ScaleCrop>false</ScaleCrop>
  <LinksUpToDate>false</LinksUpToDate>
  <CharactersWithSpaces>5402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2019-05-22T15:27:00Z</dcterms:created>
  <dc:creator>Administrator</dc:creator>
  <cp:lastModifiedBy>zl.</cp:lastModifiedBy>
  <dcterms:modified xsi:type="dcterms:W3CDTF">2026-08-19T09:33:04Z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eyJoZGlkIjoiOTUwOTc4Yjk1ZDNkMDc0NmY1ZjRkOTUxYTEzNmZiZTEiLCJ1c2VySWQiOiIyMDM2NzgzNDQifQ==</vt:lpwstr>
  </property>
  <property fmtid="{D5CDD505-2E9C-101B-9397-08002B2CF9AE}" pid="4" name="ICV">
    <vt:lpwstr>53477D41D9E841259FED57BFF38264EA_12</vt:lpwstr>
  </property>
</Properties>
</file>