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C1B41">
      <w:pPr>
        <w:pStyle w:val="3"/>
        <w:jc w:val="center"/>
        <w:rPr>
          <w:rFonts w:hint="eastAsia" w:ascii="Times New Roman" w:hAnsi="Times New Roman" w:cs="Times New Roman"/>
          <w:sz w:val="44"/>
          <w:szCs w:val="44"/>
        </w:rPr>
      </w:pPr>
    </w:p>
    <w:p w14:paraId="6EBF2B71">
      <w:pPr>
        <w:pStyle w:val="3"/>
        <w:jc w:val="center"/>
        <w:rPr>
          <w:rFonts w:hint="eastAsia" w:ascii="Times New Roman" w:hAnsi="Times New Roman" w:cs="Times New Roman"/>
          <w:sz w:val="44"/>
          <w:szCs w:val="44"/>
          <w:lang w:eastAsia="zh-CN"/>
        </w:rPr>
      </w:pPr>
      <w:r>
        <w:rPr>
          <w:rFonts w:hint="eastAsia" w:ascii="Times New Roman" w:hAnsi="Times New Roman" w:cs="Times New Roman"/>
          <w:sz w:val="44"/>
          <w:szCs w:val="44"/>
          <w:lang w:eastAsia="zh-CN"/>
        </w:rPr>
        <w:t>南水北</w:t>
      </w:r>
      <w:bookmarkStart w:id="0" w:name="_GoBack"/>
      <w:bookmarkEnd w:id="0"/>
      <w:r>
        <w:rPr>
          <w:rFonts w:hint="eastAsia" w:ascii="Times New Roman" w:hAnsi="Times New Roman" w:cs="Times New Roman"/>
          <w:sz w:val="44"/>
          <w:szCs w:val="44"/>
          <w:lang w:eastAsia="zh-CN"/>
        </w:rPr>
        <w:t>调工程供用水管理条例</w:t>
      </w:r>
    </w:p>
    <w:p w14:paraId="58D06D09">
      <w:pPr>
        <w:pStyle w:val="3"/>
        <w:ind w:firstLine="640" w:firstLineChars="200"/>
        <w:rPr>
          <w:rFonts w:hint="eastAsia" w:ascii="Times New Roman" w:hAnsi="Times New Roman" w:eastAsia="楷体_GB2312" w:cs="Times New Roman"/>
          <w:sz w:val="32"/>
          <w:szCs w:val="32"/>
        </w:rPr>
      </w:pPr>
    </w:p>
    <w:p w14:paraId="0741A80D">
      <w:pPr>
        <w:pStyle w:val="3"/>
        <w:ind w:firstLine="664"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lang w:val="en-US" w:eastAsia="zh-CN"/>
        </w:rPr>
        <w:t>(2014年2月16日中华人民共和国国务院令第647号公布　根据2026年8月8日《国务院关于修改和废止部分行政法规的决定》修订)</w:t>
      </w:r>
    </w:p>
    <w:p w14:paraId="3A5F6685">
      <w:pPr>
        <w:pStyle w:val="2"/>
        <w:jc w:val="center"/>
        <w:rPr>
          <w:rFonts w:ascii="方正黑体_GBK" w:eastAsia="方正黑体_GBK"/>
        </w:rPr>
      </w:pPr>
      <w:r>
        <w:rPr>
          <w:rFonts w:hint="eastAsia" w:ascii="方正黑体_GBK" w:hAnsi="Times New Roman" w:eastAsia="方正黑体_GBK" w:cs="Times New Roman"/>
        </w:rPr>
        <w:t>第一章　总</w:t>
      </w:r>
      <w:r>
        <w:t>　　</w:t>
      </w:r>
      <w:r>
        <w:rPr>
          <w:rFonts w:hint="eastAsia" w:ascii="方正黑体_GBK" w:hAnsi="Times New Roman" w:eastAsia="方正黑体_GBK" w:cs="Times New Roman"/>
        </w:rPr>
        <w:t>则</w:t>
      </w:r>
    </w:p>
    <w:p w14:paraId="37B3EEF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为了加强南水北调工程的供用水管理，充分发挥南水北调工程的经济效益、社会效益和生态效益，制定本条例。</w:t>
      </w:r>
    </w:p>
    <w:p w14:paraId="24AE80C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南水北调东线工程、中线工程的供用水管理，适用本条例。</w:t>
      </w:r>
    </w:p>
    <w:p w14:paraId="400F86A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南水北调工程的供用水管理遵循先节水后调水、先治污后通水、先环保后用水的原则，坚持全程管理、统筹兼顾、权责明晰、严格保护，确保调度合理、水质合格、用水节约、设施安全。</w:t>
      </w:r>
    </w:p>
    <w:p w14:paraId="093B280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水行政主管部门负责南水北调工程的水量调度、运行管理工作，国务院环境保护主管部门负责南水北调工程的水污染防治工作，国务院其他有关部门在各自职责范围内，负责南水北调工程供用水的有关工作。</w:t>
      </w:r>
    </w:p>
    <w:p w14:paraId="5B495E3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南水北调工程水源地、调水沿线区域、受水区县级以上地方人民政府负责本行政区域内南水北调工程供用水的有关工作，并将南水北调工程的水质保障、用水管理纳入国民经济和社会发展规划。</w:t>
      </w:r>
    </w:p>
    <w:p w14:paraId="3A14BA8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国家对南水北调工程水源地、调水沿线区域的产业结构调整、生态环境保护予以支持，确保南水北调工程供用水安全。</w:t>
      </w:r>
    </w:p>
    <w:p w14:paraId="7231A66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国务院确定的南水北调工程管理单位具体负责南水北调工程的运行和保护工作。</w:t>
      </w:r>
    </w:p>
    <w:p w14:paraId="2CF7298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南水北调工程受水区省、直辖市人民政府确定的单位具体负责本行政区域内南水北调配套工程的运行和保护工作。</w:t>
      </w:r>
    </w:p>
    <w:p w14:paraId="2BD896AA">
      <w:pPr>
        <w:pStyle w:val="2"/>
        <w:jc w:val="center"/>
        <w:rPr>
          <w:rFonts w:ascii="方正黑体_GBK" w:eastAsia="方正黑体_GBK"/>
        </w:rPr>
      </w:pPr>
      <w:r>
        <w:rPr>
          <w:rFonts w:hint="eastAsia" w:ascii="方正黑体_GBK" w:hAnsi="Times New Roman" w:eastAsia="方正黑体_GBK" w:cs="Times New Roman"/>
        </w:rPr>
        <w:t>第二章　水</w:t>
      </w:r>
      <w:r>
        <w:t xml:space="preserve"> </w:t>
      </w:r>
      <w:r>
        <w:rPr>
          <w:rFonts w:hint="eastAsia" w:ascii="方正黑体_GBK" w:hAnsi="Times New Roman" w:eastAsia="方正黑体_GBK" w:cs="Times New Roman"/>
        </w:rPr>
        <w:t>量</w:t>
      </w:r>
      <w:r>
        <w:t xml:space="preserve"> </w:t>
      </w:r>
      <w:r>
        <w:rPr>
          <w:rFonts w:hint="eastAsia" w:ascii="方正黑体_GBK" w:hAnsi="Times New Roman" w:eastAsia="方正黑体_GBK" w:cs="Times New Roman"/>
        </w:rPr>
        <w:t>调</w:t>
      </w:r>
      <w:r>
        <w:t xml:space="preserve"> </w:t>
      </w:r>
      <w:r>
        <w:rPr>
          <w:rFonts w:hint="eastAsia" w:ascii="方正黑体_GBK" w:hAnsi="Times New Roman" w:eastAsia="方正黑体_GBK" w:cs="Times New Roman"/>
        </w:rPr>
        <w:t>度</w:t>
      </w:r>
    </w:p>
    <w:p w14:paraId="3B7774A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南水北调工程水量调度遵循节水为先、适度从紧的原则，统筹协调水源地、受水区和调水下游区域用水，加强生态环境保护。</w:t>
      </w:r>
    </w:p>
    <w:p w14:paraId="7A280BB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南水北调工程水量调度以国务院批准的多年平均调水量和受水区省、直辖市水量分配指标为基本依据。</w:t>
      </w:r>
    </w:p>
    <w:p w14:paraId="03F1C63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南水北调东线工程水量调度年度为每年10月1日至次年9月30日；南水北调中线工程水量调度年度为每年11月1日至次年10月31日。</w:t>
      </w:r>
    </w:p>
    <w:p w14:paraId="5C7463B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淮河水利委员会商长江水利委员会提出南水北调东线工程年度可调水量，于每年9月15日前报送国务院水行政主管部门，并抄送有关省人民政府和南水北调工程管理单位。</w:t>
      </w:r>
    </w:p>
    <w:p w14:paraId="24E15FC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长江水利委员会提出南水北调中线工程年度可调水量，于每年10月15日前报送国务院水行政主管部门，并抄送有关省、直辖市人民政府和南水北调工程管理单位。</w:t>
      </w:r>
    </w:p>
    <w:p w14:paraId="79CE482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南水北调工程受水区省、直辖市人民政府水行政主管部门根据年度可调水量提出年度用水计划建议。属于南水北调东线工程受水区的于每年9月20日前、属于南水北调中线工程受水区的于每年10月20日前，报送国务院水行政主管部门，并抄送有关流域管理机构和南水北调工程管理单位。</w:t>
      </w:r>
    </w:p>
    <w:p w14:paraId="6AA0BAA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年度用水计划建议应当包括年度引水总量建议和月引水量建议。</w:t>
      </w:r>
    </w:p>
    <w:p w14:paraId="1B440E3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水行政主管部门综合平衡年度可调水量和南水北调工程受水区省、直辖市年度用水计划建议，按照国务院批准的受水区省、直辖市水量分配指标的比例，制订南水北调工程年度水量调度计划，征求国务院有关部门意见后，在水量调度年度开始前下达有关省、直辖市人民政府和南水北调工程管理单位。</w:t>
      </w:r>
    </w:p>
    <w:p w14:paraId="3ED1E1E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南水北调工程管理单位根据年度水量调度计划制订月水量调度方案，涉及到航运的，应当与交通运输主管部门协商，协商不一致的，由县级以上人民政府决定；雨情、水情出现重大变化，月水量调度方案无法实施的，应当及时进行调整并报告国务院水行政主管部门。</w:t>
      </w:r>
    </w:p>
    <w:p w14:paraId="517739F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南水北调工程供水实行由基本水价和计量水价构成的两部制水价，具体供水价格由国务院价格主管部门会同国务院有关部门制定。</w:t>
      </w:r>
    </w:p>
    <w:p w14:paraId="3889829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水费应当及时、足额缴纳，专项用于南水北调工程运行维护和偿还贷款。</w:t>
      </w:r>
    </w:p>
    <w:p w14:paraId="225CFE6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南水北调工程受水区省、直辖市人民政府授权的部门或者单位应当与南水北调工程管理单位签订供水合同。供水合同应当包括年度供水量、供水水质、交水断面、交水方式、水价、水费缴纳时间和方式、违约责任等。</w:t>
      </w:r>
    </w:p>
    <w:p w14:paraId="36F1067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水量调度年度内南水北调工程受水区省、直辖市用水需求出现重大变化，需要转让年度水量调度计划分配的水量的，由有关省、直辖市人民政府授权的部门或者单位协商签订转让协议，确定转让价格，并将转让协议报送国务院水行政主管部门，抄送南水北调工程管理单位；国务院水行政主管部门和南水北调工程管理单位应当相应调整年度水量调度计划和月水量调度方案。</w:t>
      </w:r>
    </w:p>
    <w:p w14:paraId="54D4601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国务院水行政主管部门应当会同国务院有关部门和有关省、直辖市人民政府以及南水北调工程管理单位编制南水北调工程水量调度应急预案，报国务院批准。</w:t>
      </w:r>
    </w:p>
    <w:p w14:paraId="20EA5C2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南水北调工程水源地和受水区省、直辖市人民政府有关部门、有关流域管理机构以及南水北调工程管理单位应当根据南水北调工程水量调度应急预案，制定相应的应急预案。</w:t>
      </w:r>
    </w:p>
    <w:p w14:paraId="269F97C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南水北调工程水量调度应急预案应当针对重大洪涝灾害、干旱灾害、生态破坏事故、水污染事故、工程安全事故等突发事件，规定应急管理工作的组织指挥体系与职责、预防与预警机制、处置程序、应急保障措施以及事后恢复与重建措施等内容。</w:t>
      </w:r>
    </w:p>
    <w:p w14:paraId="5EE4209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国务院或者国务院授权的部门宣布启动南水北调工程水量调度应急预案后，可以依法采取下列应急处置措施：</w:t>
      </w:r>
    </w:p>
    <w:p w14:paraId="4E994F4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(一)临时限制取水、用水、排水；</w:t>
      </w:r>
    </w:p>
    <w:p w14:paraId="077DD95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(二)统一调度有关河道的水工程；</w:t>
      </w:r>
    </w:p>
    <w:p w14:paraId="73AABF6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(三)征用治污、供水等所需设施；</w:t>
      </w:r>
    </w:p>
    <w:p w14:paraId="79677A7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(四)封闭通航河道。</w:t>
      </w:r>
    </w:p>
    <w:p w14:paraId="148F60F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国务院水行政主管部门、环境保护主管部门按照职责组织对南水北调工程省界交水断面、东线工程取水口、丹江口水库的水量、水质进行监测。</w:t>
      </w:r>
    </w:p>
    <w:p w14:paraId="3734AF4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国务院水行政主管部门、环境保护主管部门按照职责定期向社会公布南水北调工程供用水水量、水质信息，并建立水量、水质信息共享机制。</w:t>
      </w:r>
    </w:p>
    <w:p w14:paraId="5F5899E5">
      <w:pPr>
        <w:pStyle w:val="2"/>
        <w:jc w:val="center"/>
        <w:rPr>
          <w:rFonts w:ascii="方正黑体_GBK" w:eastAsia="方正黑体_GBK"/>
        </w:rPr>
      </w:pPr>
      <w:r>
        <w:rPr>
          <w:rFonts w:hint="eastAsia" w:ascii="方正黑体_GBK" w:hAnsi="Times New Roman" w:eastAsia="方正黑体_GBK" w:cs="Times New Roman"/>
        </w:rPr>
        <w:t>第三章　水</w:t>
      </w:r>
      <w:r>
        <w:t xml:space="preserve"> </w:t>
      </w:r>
      <w:r>
        <w:rPr>
          <w:rFonts w:hint="eastAsia" w:ascii="方正黑体_GBK" w:hAnsi="Times New Roman" w:eastAsia="方正黑体_GBK" w:cs="Times New Roman"/>
        </w:rPr>
        <w:t>质</w:t>
      </w:r>
      <w:r>
        <w:t xml:space="preserve"> </w:t>
      </w:r>
      <w:r>
        <w:rPr>
          <w:rFonts w:hint="eastAsia" w:ascii="方正黑体_GBK" w:hAnsi="Times New Roman" w:eastAsia="方正黑体_GBK" w:cs="Times New Roman"/>
        </w:rPr>
        <w:t>保</w:t>
      </w:r>
      <w:r>
        <w:t xml:space="preserve"> </w:t>
      </w:r>
      <w:r>
        <w:rPr>
          <w:rFonts w:hint="eastAsia" w:ascii="方正黑体_GBK" w:hAnsi="Times New Roman" w:eastAsia="方正黑体_GBK" w:cs="Times New Roman"/>
        </w:rPr>
        <w:t>障</w:t>
      </w:r>
    </w:p>
    <w:p w14:paraId="69876CF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南水北调工程水质保障实行县级以上地方人民政府目标责任制和考核评价制度。</w:t>
      </w:r>
    </w:p>
    <w:p w14:paraId="43B0790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南水北调工程水源地、调水沿线区域县级以上地方人民政府应当加强工业、城镇、农业和农村、船舶等水污染防治，建设防护林等生态隔离保护带，确保供水安全。</w:t>
      </w:r>
    </w:p>
    <w:p w14:paraId="1E8401F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依照有关法律、行政法规的规定，对南水北调工程水源地实行水环境生态保护补偿。</w:t>
      </w:r>
    </w:p>
    <w:p w14:paraId="09B352D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南水北调东线工程调水沿线区域和中线工程水源地实行重点水污染物排放总量控制制度。</w:t>
      </w:r>
    </w:p>
    <w:p w14:paraId="098F7E9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南水北调东线工程调水沿线区域和中线工程水源地省人民政府应当将国务院确定的重点水污染物排放总量控制指标逐级分解下达到有关市、县人民政府，由市、县人民政府分解落实到水污染物排放单位。</w:t>
      </w:r>
    </w:p>
    <w:p w14:paraId="1F25E99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南水北调东线工程调水沿线区域禁止建设不符合国家产业政策、不能实现水污染物稳定达标排放的建设项目。现有的落后生产技术、工艺、设备等，由当地省人民政府组织淘汰。</w:t>
      </w:r>
    </w:p>
    <w:p w14:paraId="17B270C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南水北调中线工程水源地禁止建设增加污染物排放总量的建设项目。</w:t>
      </w:r>
    </w:p>
    <w:p w14:paraId="41153EB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南水北调东线工程调水沿线区域和中线工程水源地的水污染物排放单位，应当配套建设与其排放量相适应的治理设施；实行排污许可重点管理的单位应当按照有关规定安装自动监测设备。</w:t>
      </w:r>
    </w:p>
    <w:p w14:paraId="659AB5B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南水北调东线工程干线、中线工程总干渠禁止设置排污口。</w:t>
      </w:r>
    </w:p>
    <w:p w14:paraId="2D6C458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南水北调东线工程调水沿线区域和中线工程水源地县级以上地方人民政府所在城镇排放的污水，应当经过集中处理，实现达标排放。</w:t>
      </w:r>
    </w:p>
    <w:p w14:paraId="6BC33E4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南水北调东线工程调水沿线区域和中线工程水源地县级以上地方人民政府应当合理规划、建设污水集中处理设施和配套管网，并组织收集、无害化处理城乡生活垃圾，避免污染水环境。</w:t>
      </w:r>
    </w:p>
    <w:p w14:paraId="03C0B77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南水北调东线工程调水沿线区域和中线工程水源地的畜禽养殖场、养殖小区，应当按照国家有关规定对畜禽粪便、废水等进行无害化处理和资源化利用。</w:t>
      </w:r>
    </w:p>
    <w:p w14:paraId="4F89C5D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南水北调东线工程调水沿线区域和中线工程水源地县级人民政府应当根据水源保护的需要，划定禁止或者限制采伐、开垦区域。</w:t>
      </w:r>
    </w:p>
    <w:p w14:paraId="55EA32B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南水北调东线工程调水沿线区域、中线工程水源地、中线工程总干渠沿线区域应当规划种植生态防护林；生态地位重</w:t>
      </w:r>
      <w:r>
        <w:rPr>
          <w:rFonts w:hint="eastAsia" w:ascii="仿宋_GB2312" w:hAnsi="仿宋_GB2312" w:eastAsia="仿宋_GB2312" w:cs="仿宋_GB2312"/>
          <w:spacing w:val="-6"/>
          <w:sz w:val="32"/>
          <w:szCs w:val="32"/>
        </w:rPr>
        <w:t>要的水域应当采取建设人工湿地等措施，提高水</w:t>
      </w:r>
      <w:r>
        <w:rPr>
          <w:rFonts w:hint="eastAsia" w:ascii="仿宋_GB2312" w:hAnsi="仿宋_GB2312" w:eastAsia="仿宋_GB2312" w:cs="仿宋_GB2312"/>
          <w:sz w:val="32"/>
          <w:szCs w:val="32"/>
        </w:rPr>
        <w:t>体自净能力。</w:t>
      </w:r>
    </w:p>
    <w:p w14:paraId="0005292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南水北调东线工程取水口、丹江口水库、中线工程总干渠需要划定饮用水水源保护区的，依照《中华人民共和国生态环境法典》的规定划定，实行严格保护。</w:t>
      </w:r>
    </w:p>
    <w:p w14:paraId="4185BAA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丹江口水库库区和洪泽湖、骆马湖、南四湖、东平湖湖区应当按照水功能区和南水北调工程水质保障的要求，由当地省人民政府组织逐步拆除现有的网箱养殖、围网养殖设施，严格控制人工养殖的规模、品种和密度。对因清理水产养殖设施导致转产转业的农民，当地县级以上地方人民政府应当给予补贴和扶持，并通过劳动技能培训、纳入社会保障体系等方式，保障其基本生活。</w:t>
      </w:r>
    </w:p>
    <w:p w14:paraId="3D92DFD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丹江口水库库区和洪泽湖、骆马湖、南四湖、东平湖湖区禁止餐饮等经营活动。</w:t>
      </w:r>
    </w:p>
    <w:p w14:paraId="46A0DFD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南水北调东线工程干线规划通航河道、丹江口水库及其上游通航河道应当科学规划建设港口、码头等航运设施，港口、码头应当配备与其吞吐能力相适应的船舶污染物接收、处理设备。现有的港口、码头不能达到水环境保护要求的，由当地省人民政府组织治理或者关闭。</w:t>
      </w:r>
    </w:p>
    <w:p w14:paraId="54A064F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前款规定河道航行的船舶应当按照要求进行技术改造，实现污染物船内封闭、收集上岸，不向水体排放；达不到要求的船舶和运输危险废物、危险化学品的船舶，不得进入上述河道，有关船闸管理单位不得放行。</w:t>
      </w:r>
    </w:p>
    <w:p w14:paraId="0E858B8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建设穿越、跨越、邻接南水北调工程输水河道的桥梁、公路、石油天然气管道、雨污水管道等工程设施的，其建设、管理单位应当设置警示标志，并采取有效措施，防范工程建设或者交通事故、管道泄漏等带来的安全风险。</w:t>
      </w:r>
    </w:p>
    <w:p w14:paraId="2DEC0A41">
      <w:pPr>
        <w:pStyle w:val="2"/>
        <w:jc w:val="center"/>
        <w:rPr>
          <w:rFonts w:ascii="方正黑体_GBK" w:eastAsia="方正黑体_GBK"/>
        </w:rPr>
      </w:pPr>
      <w:r>
        <w:rPr>
          <w:rFonts w:hint="eastAsia" w:ascii="方正黑体_GBK" w:hAnsi="Times New Roman" w:eastAsia="方正黑体_GBK" w:cs="Times New Roman"/>
        </w:rPr>
        <w:t>第四章　用</w:t>
      </w:r>
      <w:r>
        <w:t xml:space="preserve"> </w:t>
      </w:r>
      <w:r>
        <w:rPr>
          <w:rFonts w:hint="eastAsia" w:ascii="方正黑体_GBK" w:hAnsi="Times New Roman" w:eastAsia="方正黑体_GBK" w:cs="Times New Roman"/>
        </w:rPr>
        <w:t>水</w:t>
      </w:r>
      <w:r>
        <w:t xml:space="preserve"> </w:t>
      </w:r>
      <w:r>
        <w:rPr>
          <w:rFonts w:hint="eastAsia" w:ascii="方正黑体_GBK" w:hAnsi="Times New Roman" w:eastAsia="方正黑体_GBK" w:cs="Times New Roman"/>
        </w:rPr>
        <w:t>管</w:t>
      </w:r>
      <w:r>
        <w:t xml:space="preserve"> </w:t>
      </w:r>
      <w:r>
        <w:rPr>
          <w:rFonts w:hint="eastAsia" w:ascii="方正黑体_GBK" w:hAnsi="Times New Roman" w:eastAsia="方正黑体_GBK" w:cs="Times New Roman"/>
        </w:rPr>
        <w:t>理</w:t>
      </w:r>
    </w:p>
    <w:p w14:paraId="7D47D1D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南水北调工程受水区县级以上地方人民政府应当统筹配置南水北调工程供水和当地水资源，逐步替代超采的地下水，严格控制地下水开发利用，改善水生态环境。</w:t>
      </w:r>
    </w:p>
    <w:p w14:paraId="07EEA18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南水北调工程受水区县级以上地方人民政府应当以南水北调工程供水替代不适合作为饮用水水源的当地水源，并逐步退还因缺水挤占的农业用水和生态环境用水。</w:t>
      </w:r>
    </w:p>
    <w:p w14:paraId="63E88F5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南水北调工程受水区县级以上地方人民政府应当对本行政区域的年度用水实行总量控制，加强用水定额管理，推广节水技术、设备和设施，提高用水效率和效益。</w:t>
      </w:r>
    </w:p>
    <w:p w14:paraId="1842ED9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南水北调工程受水区县级以上地方人民政府应当鼓励、引导农民和农业生产经营组织调整农业种植结构，因地制宜减少高耗水作物种植比例，推行节水灌溉方式，促进节水农业发展。</w:t>
      </w:r>
    </w:p>
    <w:p w14:paraId="0EE9358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南水北调工程受水区省、直辖市人民政府应当制订并公布本行政区域内禁止、限制类建设项目名录，淘汰、限制高耗水、高污染的建设项目。</w:t>
      </w:r>
    </w:p>
    <w:p w14:paraId="766E64E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南水北调工程受水区省、直辖市人民政府应当将国务院批准的地下水压采总体方案确定的地下水开采总量控制指标和地下水压采目标，逐级分解下达到有关市、县人民政府，并组织编制本行政区域的地下水限制开采方案和年度计划，报国务院水行政主管部门、国土资源主管部门备案。</w:t>
      </w:r>
    </w:p>
    <w:p w14:paraId="03F2EEF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南水北调工程受水区内地下水超采区禁止新增地下水取用水量。具备水源替代条件的地下水超采区，应当划定为地下水禁采区，禁止取用地下水。</w:t>
      </w:r>
    </w:p>
    <w:p w14:paraId="63EA5DE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南水北调工程受水区禁止新增开采深层承压水。</w:t>
      </w:r>
    </w:p>
    <w:p w14:paraId="15F51A7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南水北调工程受水区省、直辖市人民政府应当统筹考虑南水北调工程供水价格与当地地表水、地下水等各种水源的水资源费和供水价格，鼓励充分利用南水北调工程供水，促进水资源合理配置。</w:t>
      </w:r>
    </w:p>
    <w:p w14:paraId="498B6D49">
      <w:pPr>
        <w:pStyle w:val="2"/>
        <w:jc w:val="center"/>
        <w:rPr>
          <w:rFonts w:ascii="方正黑体_GBK" w:eastAsia="方正黑体_GBK"/>
        </w:rPr>
      </w:pPr>
      <w:r>
        <w:rPr>
          <w:rFonts w:hint="eastAsia" w:ascii="方正黑体_GBK" w:hAnsi="Times New Roman" w:eastAsia="方正黑体_GBK" w:cs="Times New Roman"/>
        </w:rPr>
        <w:t>第五章　工程设施管理和保护</w:t>
      </w:r>
    </w:p>
    <w:p w14:paraId="482ABA6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南水北调工程水源地、调水沿线区域、受水区县级以上地方人民政府应当做好工程设施安全保护有关工作，防范和制止危害南水北调工程设施安全的行为。</w:t>
      </w:r>
    </w:p>
    <w:p w14:paraId="2004A1D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南水北调工程管理单位应当建立、健全安全生产责任制，加强对南水北调工程设施的监测、检查、巡查、维修和养护，配备必要的人员和设备，定期进行应急演练，确保工程安全运行，并及时组织清理管理范围内水域、滩地的垃圾。</w:t>
      </w:r>
    </w:p>
    <w:p w14:paraId="1C37B91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南水北调工程应当依法划定管理范围和保护范围。</w:t>
      </w:r>
    </w:p>
    <w:p w14:paraId="11736B9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南水北调东线工程的管理范围和保护范围，由工程所在地的省人民政府组织划定；其中，省际工程的管理范围和保护范围，由国务院水行政主管部门或者其授权的流域管理机构商有关省人民政府组织划定。</w:t>
      </w:r>
    </w:p>
    <w:p w14:paraId="4557B1B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丹江口水库、南水北调中线工程总干渠的管理范围和保护范围，由国务院水行政主管部门或者其授权的流域管理机构商有关省、直辖市人民政府组织划定。</w:t>
      </w:r>
    </w:p>
    <w:p w14:paraId="2F3B827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南水北调工程管理范围按照国务院批准的设计文件划定。</w:t>
      </w:r>
    </w:p>
    <w:p w14:paraId="2460179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管理单位应当在工程管理范围边界和地下工程位置上方地面设立界桩、界碑等保护标志，并设立必要的安全隔离设施对工程进行保护。未经南水北调工程管理单位同意，任何人不得进入设置安全隔离设施的区域。</w:t>
      </w:r>
    </w:p>
    <w:p w14:paraId="3662001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南水北调工程管理范围内的土地不得转作其他用途，任何单位和个人不得侵占；管理范围内禁止擅自从事与工程管理无关的活动。</w:t>
      </w:r>
    </w:p>
    <w:p w14:paraId="6B5A0CB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南水北调工程保护范围按照下列原则划定并予以公告：</w:t>
      </w:r>
    </w:p>
    <w:p w14:paraId="6D56711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(一)东线明渠输水工程为从堤防背水侧的护堤地边线向外延伸至50米以内的区域，中线明渠输水工程为从管理范围边线向外延伸至200米以内的区域；</w:t>
      </w:r>
    </w:p>
    <w:p w14:paraId="60D366B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(二)暗涵、隧洞、管道等地下输水工程为工程设施上方地面以及从其边线向外延伸至50米以内的区域；</w:t>
      </w:r>
    </w:p>
    <w:p w14:paraId="713E04B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(三)倒虹吸、渡槽、暗渠等交叉工程为从管理范围边线向交叉河道上游延伸至不少于500米不超过1000米、向交叉河道下游延伸至不少于1000米不超过3000米以内的区域；</w:t>
      </w:r>
    </w:p>
    <w:p w14:paraId="16B7BEB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(四)泵站、水闸、管理站、取水口等其他工程设施为从管理范围边线向外延伸至不少于50米不超过200米以内的区域。</w:t>
      </w:r>
    </w:p>
    <w:p w14:paraId="1651BA1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南水北调工程管理单位应当在工程沿线路口、村庄等地段设置安全警示标志；有关地方人民政府主管部门应当按照有关规定，在交叉桥梁入口处设置限制质量、轴重、速度、高度、宽度等标志，并采取相应的工程防范措施。</w:t>
      </w:r>
    </w:p>
    <w:p w14:paraId="325534A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禁止危害南水北调工程设施的下列行为：</w:t>
      </w:r>
    </w:p>
    <w:p w14:paraId="1109D98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(一)侵占、损毁输水河道(渠道、管道)、水库、堤防、护岸；</w:t>
      </w:r>
    </w:p>
    <w:p w14:paraId="28BC294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(二)在地下输水管道、堤坝上方地面种植深根植物或者修建鱼池等储水设施、堆放超重物品；</w:t>
      </w:r>
    </w:p>
    <w:p w14:paraId="427B69D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(三)移动、覆盖、涂改、损毁标志物；</w:t>
      </w:r>
    </w:p>
    <w:p w14:paraId="33CB905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(四)侵占、损毁或者擅自使用、操作专用输电线路设施、专用通信线路、闸门等设施；</w:t>
      </w:r>
    </w:p>
    <w:p w14:paraId="77762D0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(五)侵占、损毁交通、通信、水文水质监测等其他设施。</w:t>
      </w:r>
    </w:p>
    <w:p w14:paraId="784A939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禁止擅自从南水北调工程取用水资源。</w:t>
      </w:r>
    </w:p>
    <w:p w14:paraId="1B41292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禁止在南水北调工程保护范围内实施影响工程运行、危害工程安全和供水安全的爆破、打井、采矿、取土、采石、采砂、钻探、建房、建坟、挖塘、挖沟等行为。</w:t>
      </w:r>
    </w:p>
    <w:p w14:paraId="4803595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在南水北调工程管理范围和保护范围内建设桥梁、码头、公路、铁路、地铁、船闸、管道、缆线、取水、排水等工程设施，按照国家规定的基本建设程序报请审批、核准时，审批、核准单位应当征求南水北调工程管理单位对拟建工程设施建设方案的意见。</w:t>
      </w:r>
    </w:p>
    <w:p w14:paraId="5DD9DC7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前款规定的建设项目在施工、维护、检修前，应当通报南水北调工程管理单位，施工、维护、检修过程中不得影响南水北调工程设施安全和正常运行。</w:t>
      </w:r>
    </w:p>
    <w:p w14:paraId="7DACF3B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在汛期，南水北调工程管理单位应当加强巡查，发现险情立即采取抢修等措施，并及时向有关防汛抗旱指挥机构报告。</w:t>
      </w:r>
    </w:p>
    <w:p w14:paraId="162F83B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南水北调工程管理单位应当加强南水北调工程设施的安全保护，制定安全保护方案，建立健全安全保护责任制，加强安全保护设施的建设、维护，落实治安防范措施，及时排除隐患。</w:t>
      </w:r>
    </w:p>
    <w:p w14:paraId="33AE5CA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南水北调工程重要水域、重要设施需要派出中国人民武装警察部队守卫或者抢险救援的，依照《中华人民共和国人民武装警察法》和国务院、中央军事委员会的有关规定执行。</w:t>
      </w:r>
    </w:p>
    <w:p w14:paraId="229F275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在紧急情况下，南水北调工程管理单位因工程抢修需要取土占地或者使用有关设施的，有关单位和个人应当予以配合。南水北调工程管理单位应当于事后恢复原状；造成损失的，应当依法予以补偿。</w:t>
      </w:r>
    </w:p>
    <w:p w14:paraId="37A9224C">
      <w:pPr>
        <w:pStyle w:val="2"/>
        <w:jc w:val="center"/>
        <w:rPr>
          <w:rFonts w:ascii="方正黑体_GBK" w:eastAsia="方正黑体_GBK"/>
        </w:rPr>
      </w:pPr>
      <w:r>
        <w:rPr>
          <w:rFonts w:hint="eastAsia" w:ascii="方正黑体_GBK" w:hAnsi="Times New Roman" w:eastAsia="方正黑体_GBK" w:cs="Times New Roman"/>
        </w:rPr>
        <w:t>第六章　法</w:t>
      </w:r>
      <w:r>
        <w:t xml:space="preserve"> </w:t>
      </w:r>
      <w:r>
        <w:rPr>
          <w:rFonts w:hint="eastAsia" w:ascii="方正黑体_GBK" w:hAnsi="Times New Roman" w:eastAsia="方正黑体_GBK" w:cs="Times New Roman"/>
        </w:rPr>
        <w:t>律</w:t>
      </w:r>
      <w:r>
        <w:t xml:space="preserve"> </w:t>
      </w:r>
      <w:r>
        <w:rPr>
          <w:rFonts w:hint="eastAsia" w:ascii="方正黑体_GBK" w:hAnsi="Times New Roman" w:eastAsia="方正黑体_GBK" w:cs="Times New Roman"/>
        </w:rPr>
        <w:t>责</w:t>
      </w:r>
      <w:r>
        <w:t xml:space="preserve"> </w:t>
      </w:r>
      <w:r>
        <w:rPr>
          <w:rFonts w:hint="eastAsia" w:ascii="方正黑体_GBK" w:hAnsi="Times New Roman" w:eastAsia="方正黑体_GBK" w:cs="Times New Roman"/>
        </w:rPr>
        <w:t>任</w:t>
      </w:r>
    </w:p>
    <w:p w14:paraId="537486C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行政机关及其工作人员违反本条例规定，有下列行为之一的，由主管机关或者监察机关责令改正；情节严重的，对直接负责的主管人员和其他直接责任人员依法给予处分；直接负责的主管人员和其他直接责任人员构成犯罪的，依法追究刑事责任：</w:t>
      </w:r>
    </w:p>
    <w:p w14:paraId="2C85D71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(一)不及时制订下达或者不执行年度水量调度计划的；</w:t>
      </w:r>
    </w:p>
    <w:p w14:paraId="7E57748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(二)不编制或者不执行水量调度应急预案的；</w:t>
      </w:r>
    </w:p>
    <w:p w14:paraId="768199C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(三)不编制或者不执行南水北调工程受水区地下水限制开采方案的；</w:t>
      </w:r>
    </w:p>
    <w:p w14:paraId="31BE6A7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(四)不履行水量、水质监测职责的；</w:t>
      </w:r>
    </w:p>
    <w:p w14:paraId="5A56163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(五)不履行本条例规定的其他职责的。</w:t>
      </w:r>
    </w:p>
    <w:p w14:paraId="380C750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南水北调工程管理单位及其工作人员违反本条例规定，有下列行为之一的，由主管机关或者监察机关责令改正；情节严重的，对直接负责的主管人员和其他直接责任人员依法给予处分；直接负责的主管人员和其他直接责任人员构成犯罪的，依法追究刑事责任：</w:t>
      </w:r>
    </w:p>
    <w:p w14:paraId="379C476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(一)虚假填报或者篡改工程运行情况等资料的；</w:t>
      </w:r>
    </w:p>
    <w:p w14:paraId="4E392C1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(二)不执行年度水量调度计划或者水量调度应急预案的；</w:t>
      </w:r>
    </w:p>
    <w:p w14:paraId="2DCDDD9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(三)不及时制订或者不执行月水量调度方案的；</w:t>
      </w:r>
    </w:p>
    <w:p w14:paraId="573FBA3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(四)对工程设施疏于监测、检查、巡查、维修、养护，不落实安全生产责任制，影响工程安全、供水安全的；</w:t>
      </w:r>
    </w:p>
    <w:p w14:paraId="442AAD8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(五)不履行本条例规定的其他职责的。</w:t>
      </w:r>
    </w:p>
    <w:p w14:paraId="11506A1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违反本条例规定，实施排放水污染物等危害南水北调工程水质安全行为的，依照《中华人民共和国生态环境法典》的规定处理；构成犯罪的，依法追究刑事责任。</w:t>
      </w:r>
    </w:p>
    <w:p w14:paraId="5C3CDB1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在南水北调工程受水区地下水禁采区取用地下水、在受水区地下水超采区新增地下水取用水量、在受水区新增开采深层承压水，或者擅自从南水北调工程取用水资源的，依照《中华人民共和国水法》的规定处理。</w:t>
      </w:r>
    </w:p>
    <w:p w14:paraId="0F9C0F2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运输危险废物、危险化学品的船舶进入南水北调东线工程干线规划通航河道、丹江口水库及其上游通航河道的，由县级以上地方人民政府负责海事、渔业工作的行政主管部门按照职责权限予以扣押，对危险废物、危险化学品采取卸载等措施，所需费用由违法行为人承担；构成犯罪的，依法追究刑事责任。</w:t>
      </w:r>
    </w:p>
    <w:p w14:paraId="6F22B69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建设穿越、跨越、邻接南水北调工程输水河道的桥梁、公路、石油天然气管道、雨污水管道等工程设施，未采取有效措施，危害南水北调工程安全和供水安全的，由建设项目审批、核准单位责令采取补救措施；在补救措施落实前，暂停工程设施建设。</w:t>
      </w:r>
    </w:p>
    <w:p w14:paraId="03F5223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规定，侵占、损毁、危害南水北调工程设施，或者在南水北调工程保护范围内实施影响工程运行、危害工程安全和供水安全的行为的，依照《中华人民共和国水法》的规定处理；《中华人民共和国水法》未作规定的，由县级以上人民政府水行政主管部门或者流域管理机构按照职责权限，责令停止违法行为，限期采取补救措施；造成损失的，依法承担民事责任；构成违反治安管理行为的，依法给予治安管理处罚；构成犯罪的，依法追究刑事责任。</w:t>
      </w:r>
    </w:p>
    <w:p w14:paraId="36BE1AC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南水北调工程水源地、调水沿线区域有下列情形之一的，暂停审批有关行政区域除污染减排和生态恢复项目外所有建设项目的环境影响评价文件：</w:t>
      </w:r>
    </w:p>
    <w:p w14:paraId="75BD155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(一)在东线工程干线、中线工程总干渠设置排污口的；</w:t>
      </w:r>
    </w:p>
    <w:p w14:paraId="478FD47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(二)排污超过重点水污染物排放总量控制指标的；</w:t>
      </w:r>
    </w:p>
    <w:p w14:paraId="7ED77A9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(三)违法批准建设污染水环境的建设项目造成重大水污染事故等严重后果，未落实补救措施的。</w:t>
      </w:r>
    </w:p>
    <w:p w14:paraId="32404502">
      <w:pPr>
        <w:pStyle w:val="2"/>
        <w:jc w:val="center"/>
        <w:rPr>
          <w:rFonts w:ascii="方正黑体_GBK" w:eastAsia="方正黑体_GBK"/>
        </w:rPr>
      </w:pPr>
      <w:r>
        <w:rPr>
          <w:rFonts w:hint="eastAsia" w:ascii="方正黑体_GBK" w:hAnsi="Times New Roman" w:eastAsia="方正黑体_GBK" w:cs="Times New Roman"/>
        </w:rPr>
        <w:t>第七章　附</w:t>
      </w:r>
      <w:r>
        <w:t>　　</w:t>
      </w:r>
      <w:r>
        <w:rPr>
          <w:rFonts w:hint="eastAsia" w:ascii="方正黑体_GBK" w:hAnsi="Times New Roman" w:eastAsia="方正黑体_GBK" w:cs="Times New Roman"/>
        </w:rPr>
        <w:t>则</w:t>
      </w:r>
    </w:p>
    <w:p w14:paraId="27EBF40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南水北调东线工程，指从江苏省扬州市附近的长江干流引水，调水到江苏省北部和山东省等地的主体工程。</w:t>
      </w:r>
    </w:p>
    <w:p w14:paraId="5283A3B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南水北调中线工程，指从丹江口水库引水，调水到河南省、河北省、北京市、天津市的主体工程。</w:t>
      </w:r>
    </w:p>
    <w:p w14:paraId="06F5628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南水北调配套工程，指东线工程、中线工程分水口门以下，配置、调度分配给本行政区域使用的南水北调供水的工程。</w:t>
      </w:r>
    </w:p>
    <w:p w14:paraId="1DF45AE3">
      <w:pPr>
        <w:pStyle w:val="3"/>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173B5">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21419915">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7BB0A57"/>
    <w:rsid w:val="00865C59"/>
    <w:rsid w:val="009253AA"/>
    <w:rsid w:val="00D43731"/>
    <w:rsid w:val="04581CB1"/>
    <w:rsid w:val="07235B55"/>
    <w:rsid w:val="07BB0A57"/>
    <w:rsid w:val="0A075D0B"/>
    <w:rsid w:val="0A4341FE"/>
    <w:rsid w:val="0C960FC1"/>
    <w:rsid w:val="199155F1"/>
    <w:rsid w:val="376968D0"/>
    <w:rsid w:val="394219FB"/>
    <w:rsid w:val="3A3D7159"/>
    <w:rsid w:val="3D27023E"/>
    <w:rsid w:val="5077139F"/>
    <w:rsid w:val="5B212035"/>
    <w:rsid w:val="5FCF3D4A"/>
    <w:rsid w:val="612F7BF2"/>
    <w:rsid w:val="6C22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7476</Words>
  <Characters>7515</Characters>
  <Lines>55</Lines>
  <Paragraphs>15</Paragraphs>
  <TotalTime>5</TotalTime>
  <ScaleCrop>false</ScaleCrop>
  <LinksUpToDate>false</LinksUpToDate>
  <CharactersWithSpaces>7595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2019-05-22T15:25:00Z</dcterms:created>
  <dc:creator>Administrator</dc:creator>
  <cp:lastModifiedBy>zl.</cp:lastModifiedBy>
  <dcterms:modified xsi:type="dcterms:W3CDTF">2026-08-19T09:32:57Z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eyJoZGlkIjoiOTUwOTc4Yjk1ZDNkMDc0NmY1ZjRkOTUxYTEzNmZiZTEiLCJ1c2VySWQiOiIyMDM2NzgzNDQifQ==</vt:lpwstr>
  </property>
  <property fmtid="{D5CDD505-2E9C-101B-9397-08002B2CF9AE}" pid="4" name="ICV">
    <vt:lpwstr>ACA9E9C616EE492C8D2925C20D175BF8_12</vt:lpwstr>
  </property>
</Properties>
</file>