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0A9D00">
      <w:pPr>
        <w:jc w:val="center"/>
        <w:rPr>
          <w:b w:val="0"/>
          <w:bCs w:val="0"/>
          <w:sz w:val="44"/>
          <w:szCs w:val="44"/>
        </w:rPr>
      </w:pPr>
    </w:p>
    <w:p w14:paraId="4B09BAF7">
      <w:pPr>
        <w:pStyle w:val="11"/>
        <w:jc w:val="center"/>
        <w:rPr>
          <w:rFonts w:ascii="Times New Roman" w:hAnsi="Times New Roman" w:cs="Times New Roman"/>
          <w:sz w:val="44"/>
          <w:szCs w:val="44"/>
        </w:rPr>
      </w:pPr>
      <w:r>
        <w:rPr>
          <w:rFonts w:hint="eastAsia" w:ascii="Times New Roman" w:hAnsi="Times New Roman" w:cs="Times New Roman"/>
          <w:sz w:val="44"/>
          <w:szCs w:val="44"/>
          <w:lang w:eastAsia="zh-CN"/>
        </w:rPr>
        <w:t>地下水管</w:t>
      </w:r>
      <w:bookmarkStart w:id="0" w:name="_GoBack"/>
      <w:bookmarkEnd w:id="0"/>
      <w:r>
        <w:rPr>
          <w:rFonts w:hint="eastAsia" w:ascii="Times New Roman" w:hAnsi="Times New Roman" w:cs="Times New Roman"/>
          <w:sz w:val="44"/>
          <w:szCs w:val="44"/>
          <w:lang w:eastAsia="zh-CN"/>
        </w:rPr>
        <w:t>理条例</w:t>
      </w:r>
    </w:p>
    <w:p w14:paraId="7B67E476">
      <w:pPr>
        <w:widowControl/>
        <w:spacing w:line="500" w:lineRule="exact"/>
        <w:jc w:val="center"/>
        <w:rPr>
          <w:rFonts w:ascii="宋体" w:hAnsi="宋体" w:cs="宋体"/>
          <w:color w:val="333333"/>
          <w:sz w:val="32"/>
          <w:szCs w:val="32"/>
          <w:shd w:val="clear" w:color="auto" w:fill="FFFFFF"/>
        </w:rPr>
      </w:pPr>
    </w:p>
    <w:p w14:paraId="2FA94CC9">
      <w:pPr>
        <w:pStyle w:val="11"/>
        <w:ind w:firstLine="664" w:firstLineChars="200"/>
        <w:rPr>
          <w:rFonts w:hint="eastAsia" w:ascii="楷体_GB2312" w:hAnsi="楷体_GB2312" w:eastAsia="楷体_GB2312" w:cs="楷体_GB2312"/>
          <w:spacing w:val="6"/>
          <w:sz w:val="32"/>
          <w:szCs w:val="32"/>
        </w:rPr>
      </w:pPr>
      <w:r>
        <w:rPr>
          <w:rFonts w:hint="eastAsia" w:ascii="楷体_GB2312" w:hAnsi="楷体_GB2312" w:eastAsia="楷体_GB2312" w:cs="楷体_GB2312"/>
          <w:spacing w:val="6"/>
          <w:sz w:val="32"/>
          <w:szCs w:val="32"/>
        </w:rPr>
        <w:t>(2021年10月21日中华人民共和国国务院令第748号公布　根据2026年8月8日《国务院关于修改和废止部分行政法规的决定》修订)</w:t>
      </w:r>
    </w:p>
    <w:p w14:paraId="3B8ABD90">
      <w:pPr>
        <w:pStyle w:val="3"/>
        <w:pageBreakBefore w:val="0"/>
        <w:widowControl w:val="0"/>
        <w:kinsoku/>
        <w:wordWrap/>
        <w:overflowPunct/>
        <w:topLinePunct w:val="0"/>
        <w:autoSpaceDE/>
        <w:autoSpaceDN/>
        <w:bidi w:val="0"/>
        <w:adjustRightInd/>
        <w:snapToGrid/>
        <w:ind w:firstLine="640" w:firstLineChars="200"/>
        <w:textAlignment w:val="auto"/>
      </w:pPr>
      <w:r>
        <w:rPr>
          <w:rFonts w:ascii="Times New Roman" w:hAnsi="Times New Roman" w:cs="Times New Roman"/>
        </w:rPr>
        <w:t>第一章　总　　则</w:t>
      </w:r>
    </w:p>
    <w:p w14:paraId="21804DC3">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为了加强地下水管理，防治地下水超采和污染，保障地下水质量和可持续利用，推进生态文明建设，根据《中华人民共和国生态环境法典》和《中华人民共和国水法》等法律，制定本条例。</w:t>
      </w:r>
    </w:p>
    <w:p w14:paraId="2D28D234">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地下水调查与规划、节约与保护、超采治理、污染防治、监督管理等活动，适用本条例。</w:t>
      </w:r>
    </w:p>
    <w:p w14:paraId="680AE94E">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本条例所称地下水，是指赋存于地表以下的水。</w:t>
      </w:r>
    </w:p>
    <w:p w14:paraId="3F9C31E1">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地下水管理坚持统筹规划、节水优先、高效利用、系统治理的原则。</w:t>
      </w:r>
    </w:p>
    <w:p w14:paraId="29344DE7">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国务院水行政主管部门负责全国地下水统一监督管理工作。国务院生态环境主管部门负责全国地下水污染防治监督管理工作。国务院自然资源等主管部门按照职责分工做好地下水调查、监测等相关工作。</w:t>
      </w:r>
    </w:p>
    <w:p w14:paraId="36BFB553">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县级以上地方人民政府对本行政区域内的地下水管理负责，应当将地下水管理纳入本级国民经济和社会发展规划，并采取控制开采量、防治污染等措施，维持地下水合理水位，保护地下水水质。</w:t>
      </w:r>
    </w:p>
    <w:p w14:paraId="09766D81">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水行政主管部门按照管理权限，负责本行政区域内地下水统一监督管理工作。地方人民政府生态环境主管部门负责本行政区域内地下水污染防治监督管理工作。县级以上地方人民政府自然资源等主管部门按照职责分工做好本行政区域内地下水调查、监测等相关工作。</w:t>
      </w:r>
    </w:p>
    <w:p w14:paraId="66A06D6D">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利用地下水的单位和个人应当加强地下水取水工程管理，节约、保护地下水，防止地下水污染。</w:t>
      </w:r>
    </w:p>
    <w:p w14:paraId="07EC9652">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国务院对省、自治区、直辖市地下水管理和保护情况实行目标责任制和考核评价制度。国务院有关部门按照职责分工负责考核评价工作的具体组织实施。</w:t>
      </w:r>
    </w:p>
    <w:p w14:paraId="241BD054">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任何单位和个人都有权对损害地下水的行为进行监督、检举。</w:t>
      </w:r>
    </w:p>
    <w:p w14:paraId="739F8F75">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对在节约、保护和管理地下水工作中作出突出贡献的单位和个人，按照国家有关规定给予表彰和奖励。</w:t>
      </w:r>
    </w:p>
    <w:p w14:paraId="343F17B6">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国家加强对地下水节约和保护的宣传教育，鼓励、支持地下水先进科学技术的研究、推广和应用。</w:t>
      </w:r>
    </w:p>
    <w:p w14:paraId="2CD828AB">
      <w:pPr>
        <w:pStyle w:val="3"/>
        <w:pageBreakBefore w:val="0"/>
        <w:widowControl w:val="0"/>
        <w:kinsoku/>
        <w:wordWrap/>
        <w:overflowPunct/>
        <w:topLinePunct w:val="0"/>
        <w:autoSpaceDE/>
        <w:autoSpaceDN/>
        <w:bidi w:val="0"/>
        <w:adjustRightInd/>
        <w:snapToGrid/>
        <w:ind w:firstLine="640" w:firstLineChars="200"/>
        <w:textAlignment w:val="auto"/>
        <w:rPr>
          <w:sz w:val="32"/>
          <w:szCs w:val="32"/>
        </w:rPr>
      </w:pPr>
      <w:r>
        <w:rPr>
          <w:rFonts w:ascii="Times New Roman" w:hAnsi="Times New Roman" w:cs="Times New Roman"/>
          <w:sz w:val="32"/>
          <w:szCs w:val="32"/>
        </w:rPr>
        <w:t>第二章　调查与规划</w:t>
      </w:r>
    </w:p>
    <w:p w14:paraId="6A6C62E2">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国家定期组织开展地下水状况调查评价工作。地下水状况调查评价包括地下水资源调查评价、地下水污染调查评价和水文地质勘查评价等内容。</w:t>
      </w:r>
    </w:p>
    <w:p w14:paraId="34387C97">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县级以上人民政府应当组织水行政、自然资源、生态环境等主管部门开展地下水状况调查评价工作。调查评价成果是编制地下水保护利用和污染防治等规划以及管理地下水的重要依据。调查评价成果应当依法向社会公布。</w:t>
      </w:r>
    </w:p>
    <w:p w14:paraId="2264DA01">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县级以上人民政府水行政、自然资源、生态环境等主管部门根据地下水状况调查评价成果，统筹考虑经济社会发展需要、地下水资源状况、污染防治等因素，编制本级地下水保护利用和污染防治等规划，依法履行征求意见、论证评估等程序后向社会公布。</w:t>
      </w:r>
    </w:p>
    <w:p w14:paraId="7351E7C0">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地下水保护利用和污染防治等规划是节约、保护、利用、修复治理地下水的基本依据。地下水保护利用和污染防治等规划应当服从水资源综合规划和环境保护规划。</w:t>
      </w:r>
    </w:p>
    <w:p w14:paraId="72FFAA77">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国民经济和社会发展规划以及国土空间规划等相关规划的编制、重大建设项目的布局，应当与地下水资源条件和地下水保护要求相适应，并进行科学论证。</w:t>
      </w:r>
    </w:p>
    <w:p w14:paraId="4AA3106D">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编制工业、农业、市政、能源、矿产资源开发等专项规划，涉及地下水的内容，应当与地下水保护利用和污染防治等规划相衔接。</w:t>
      </w:r>
    </w:p>
    <w:p w14:paraId="1A52E3E0">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国家建立地下水储备制度。国务院水行政主管部门应当会同国务院自然资源、发展改革等主管部门，对地下水储备工作进行指导、协调和监督检查。</w:t>
      </w:r>
    </w:p>
    <w:p w14:paraId="36F792E9">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县级以上地方人民政府水行政主管部门应当会同本级人民政府自然资源、发展改革等主管部门，根据本行政区域内地下水条件、气候状况和水资源储备需要，制定动用地下水储备预案并报本级人民政府批准。</w:t>
      </w:r>
    </w:p>
    <w:p w14:paraId="1B061DBD">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除特殊干旱年份以及发生重大突发事件外，不得动用地下水储备。</w:t>
      </w:r>
    </w:p>
    <w:p w14:paraId="5B1D9781">
      <w:pPr>
        <w:pStyle w:val="3"/>
        <w:pageBreakBefore w:val="0"/>
        <w:widowControl w:val="0"/>
        <w:kinsoku/>
        <w:wordWrap/>
        <w:overflowPunct/>
        <w:topLinePunct w:val="0"/>
        <w:autoSpaceDE/>
        <w:autoSpaceDN/>
        <w:bidi w:val="0"/>
        <w:adjustRightInd/>
        <w:snapToGrid/>
        <w:ind w:firstLine="640" w:firstLineChars="200"/>
        <w:textAlignment w:val="auto"/>
        <w:rPr>
          <w:sz w:val="32"/>
          <w:szCs w:val="32"/>
        </w:rPr>
      </w:pPr>
      <w:r>
        <w:rPr>
          <w:rFonts w:ascii="Times New Roman" w:hAnsi="Times New Roman" w:cs="Times New Roman"/>
          <w:sz w:val="32"/>
          <w:szCs w:val="32"/>
        </w:rPr>
        <w:t>第三章　节约与保护</w:t>
      </w:r>
    </w:p>
    <w:p w14:paraId="088E6BAA">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国家实行地下水取水总量控制制度。国务院水行政主管部门会同国务院自然资源主管部门，根据各省、自治区、直辖市地下水可开采量和地表水水资源状况，制定并下达各省、自治区、直辖市地下水取水总量控制指标。</w:t>
      </w:r>
    </w:p>
    <w:p w14:paraId="70E309BF">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省、自治区、直辖市人民政府水行政主管部门应当会同本级人民政府有关部门，根据国家下达的地下水取水总量控制指标，制定本行政区域内县级以上行政区域的地下水取水总量控制指标和地下水水位控制指标，经省、自治区、直辖市人民政府批准后下达实施，并报国务院水行政主管部门或者其授权的流域管理机构备案。</w:t>
      </w:r>
    </w:p>
    <w:p w14:paraId="235A3571">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省、自治区、直辖市人民政府水行政主管部门制定本行政区域内地下水取水总量控制指标和地下水水位控制指标时，涉及省际边界区域且属于同一水文地质单元的，应当与相邻省、自治区、直辖市人民政府水行政主管部门协商确定。协商不成的，由国务院水行政主管部门会同国务院有关部门确定。</w:t>
      </w:r>
    </w:p>
    <w:p w14:paraId="47F9D3F1">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县级以上地方人民政府应当根据地下水取水总量控制指标、地下水水位控制指标和国家相关技术标准，合理确定本行政区域内地下水取水工程布局。</w:t>
      </w:r>
    </w:p>
    <w:p w14:paraId="198F8F69">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县级以上地方人民政府水行政主管部门应当根据本行政区域内地下水取水总量控制指标、地下水水位控制指标以及科学分析测算的地下水需求量和用水结构，制定地下水年度取水计划，对本行政区域内的年度取用地下水实行总量控制，并报上一级人民政府水行政主管部门备案。</w:t>
      </w:r>
    </w:p>
    <w:p w14:paraId="49EAA55C">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取用地下水的单位和个人应当遵守取水总量控制和定额管理要求，使用先进节约用水技术、工艺和设备，采取循环用水、综合利用及废水处理回用等措施，实施技术改造，降低用水消耗。</w:t>
      </w:r>
    </w:p>
    <w:p w14:paraId="45B3A472">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对下列工艺、设备和产品，应当在规定的期限内停止生产、销售、进口或者使用：</w:t>
      </w:r>
    </w:p>
    <w:p w14:paraId="433C4EAB">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(一)列入淘汰落后的、耗水量高的工艺、设备和产品名录的；</w:t>
      </w:r>
    </w:p>
    <w:p w14:paraId="2C35B104">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(二)列入限期禁止采用的严重污染水环境的工艺名录和限期禁止生产、销售、进口、使用的严重污染水环境的设备名录的。</w:t>
      </w:r>
    </w:p>
    <w:p w14:paraId="158091F7">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新建、改建、扩建地下水取水工程，应当同时安装计量设施。已有地下水取水工程未安装计量设施的，应当按照县级以上地方人民政府水行政主管部门规定的期限安装。</w:t>
      </w:r>
    </w:p>
    <w:p w14:paraId="634DE6AF">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和个人取用地下水量达到取水规模以上的，应当安装地下水取水在线计量设施，并将计量数据实时传输到有管理权限的水行政主管部门。取水规模由省、自治区、直辖市人民政府水行政主管部门制定、公布，并报国务院水行政主管部门备案。</w:t>
      </w:r>
    </w:p>
    <w:p w14:paraId="6B276E00">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以地下水为灌溉水源的地区，县级以上地方人民政府应当采取保障建设投入、加大对企业信贷支持力度、建立健全基层水利服务体系等措施，鼓励发展节水农业，推广应用喷灌、微灌、管道输水灌溉、渠道防渗输水灌溉等节水灌溉技术，以及先进的农机、农艺和生物技术等，提高农业用水效率，节约农业用水。</w:t>
      </w:r>
    </w:p>
    <w:p w14:paraId="2A819F9D">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国务院根据国民经济和社会发展需要，对取用地下水的单位和个人试点征收水资源税。地下水水资源税根据当地地下水资源状况、取用水类型和经济发展等情况实行差别税率，合理提高征收标准。征收水资源税的，停止征收水资源费。</w:t>
      </w:r>
    </w:p>
    <w:p w14:paraId="553365C4">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尚未试点征收水资源税的省、自治区、直辖市，对同一类型取用水，地下水的水资源费征收标准应当高于地表水的标准，地下水超采区的水资源费征收标准应当高于非超采区的标准，地下水严重超采区的水资源费征收标准应当大幅高于非超采区的标准。</w:t>
      </w:r>
    </w:p>
    <w:p w14:paraId="0CEC2F8C">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有下列情形之一的，对取用地下水的取水许可申请不予批准：</w:t>
      </w:r>
    </w:p>
    <w:p w14:paraId="79E66608">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(一)不符合地下水取水总量控制、地下水水位控制要求；</w:t>
      </w:r>
    </w:p>
    <w:p w14:paraId="0E0B4171">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(二)不符合限制开采区取用水规定；</w:t>
      </w:r>
    </w:p>
    <w:p w14:paraId="06C526C5">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(三)不符合行业用水定额和节水规定；</w:t>
      </w:r>
    </w:p>
    <w:p w14:paraId="20FB6C5F">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(四)不符合强制性国家标准；</w:t>
      </w:r>
    </w:p>
    <w:p w14:paraId="5A9F5A53">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(五)水资源紧缺或者生态脆弱地区新建、改建、扩建高耗水项目；</w:t>
      </w:r>
    </w:p>
    <w:p w14:paraId="20F3B9D8">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(六)违反法律、法规的规定开垦种植而取用地下水。</w:t>
      </w:r>
    </w:p>
    <w:p w14:paraId="7BA4B362">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建设单位和个人应当采取措施防止地下工程建设对地下水补给、径流、排泄等造成重大不利影响。对开挖达到一定深度或者达到一定排水规模的地下工程，建设单位和个人应当于工程开工前，将工程建设方案和防止对地下水产生不利影响的措施方案报有管理权限的水行政主管部门备案。开挖深度和排水规模由省、自治区、直辖市人民政府制定、公布。</w:t>
      </w:r>
    </w:p>
    <w:p w14:paraId="3FD23EB2">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除下列情形外，禁止开采难以更新的地下水：</w:t>
      </w:r>
    </w:p>
    <w:p w14:paraId="1085FA74">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(一)应急供水取水；</w:t>
      </w:r>
    </w:p>
    <w:p w14:paraId="310F1D25">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(二)无替代水源地区的居民生活用水；</w:t>
      </w:r>
    </w:p>
    <w:p w14:paraId="06F7C90A">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(三)为开展地下水监测、勘探、试验少量取水。</w:t>
      </w:r>
    </w:p>
    <w:p w14:paraId="6EDBB9B5">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已经开采的，除前款规定的情形外，有关县级以上地方人民政府应当采取禁止开采、限制开采措施，逐步实现全面禁止开采；前款规定的情形消除后，应当立即停止取用地下水。</w:t>
      </w:r>
    </w:p>
    <w:p w14:paraId="11225026">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县级以上地方人民政府应当加强地下水水源补给保护，充分利用自然条件补充地下水，有效涵养地下水水源。</w:t>
      </w:r>
    </w:p>
    <w:p w14:paraId="43E7A51D">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乡建设应当统筹地下水水源涵养和回补需要，按照海绵城市建设的要求，推广海绵型建筑、道路、广场、公园、绿地等，逐步完善滞渗蓄排等相结合的雨洪水收集利用系统。河流、湖泊整治应当兼顾地下水水源涵养，加强水体自然形态保护和修复。</w:t>
      </w:r>
    </w:p>
    <w:p w14:paraId="57A74E2B">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城市人民政府应当因地制宜采取有效措施，推广节水型生活用水器具，鼓励使用再生水，提高用水效率。</w:t>
      </w:r>
    </w:p>
    <w:p w14:paraId="1837BC08">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县级以上地方人民政府应当根据地下水水源条件和需要，建设应急备用饮用水水源，制定应急预案，确保需要时正常使用。</w:t>
      </w:r>
    </w:p>
    <w:p w14:paraId="15E17A4C">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应急备用地下水水源结束应急使用后，应当立即停止取水。</w:t>
      </w:r>
    </w:p>
    <w:p w14:paraId="675C7DEC">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有关县级以上地方人民政府水行政主管部门会同本级人民政府有关部门编制重要泉域保护方案，明确保护范围、保护措施，报本级人民政府批准后实施。</w:t>
      </w:r>
    </w:p>
    <w:p w14:paraId="580B8E4A">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对已经干涸但具有重要历史文化和生态价值的泉域，具备条件的，应当采取措施予以恢复。</w:t>
      </w:r>
    </w:p>
    <w:p w14:paraId="1E0EC7C4">
      <w:pPr>
        <w:pStyle w:val="3"/>
        <w:pageBreakBefore w:val="0"/>
        <w:widowControl w:val="0"/>
        <w:kinsoku/>
        <w:wordWrap/>
        <w:overflowPunct/>
        <w:topLinePunct w:val="0"/>
        <w:autoSpaceDE/>
        <w:autoSpaceDN/>
        <w:bidi w:val="0"/>
        <w:adjustRightInd/>
        <w:snapToGrid/>
        <w:ind w:firstLine="640" w:firstLineChars="200"/>
        <w:textAlignment w:val="auto"/>
        <w:rPr>
          <w:sz w:val="32"/>
          <w:szCs w:val="32"/>
        </w:rPr>
      </w:pPr>
      <w:r>
        <w:rPr>
          <w:rFonts w:ascii="Times New Roman" w:hAnsi="Times New Roman" w:cs="Times New Roman"/>
          <w:sz w:val="32"/>
          <w:szCs w:val="32"/>
        </w:rPr>
        <w:t>第四章　超 采 治 理</w:t>
      </w:r>
    </w:p>
    <w:p w14:paraId="092601FA">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国务院水行政主管部门应当会同国务院自然资源主管部门根据地下水状况调查评价成果，组织划定全国地下水超采区，并依法向社会公布。</w:t>
      </w:r>
    </w:p>
    <w:p w14:paraId="494C645F">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省、自治区、直辖市人民政府水行政主管部门应当会同本级人民政府自然资源等主管部门，统筹考虑地下水超采区划定、地下水利用情况以及地质环境条件等因素，组织划定本行政区域内地下水禁止开采区、限制开采区，经省、自治区、直辖市人民政府批准后公布，并报国务院水行政主管部门备案。</w:t>
      </w:r>
    </w:p>
    <w:p w14:paraId="1D39E137">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地下水禁止开采区、限制开采区划定后，确需调整的，应当按照原划定程序进行调整。</w:t>
      </w:r>
    </w:p>
    <w:p w14:paraId="47B9C59B">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有下列情形之一的，应当划为地下水禁止开采区：</w:t>
      </w:r>
    </w:p>
    <w:p w14:paraId="6817EAEE">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(一)已发生严重的地面沉降、地裂缝、海(咸)水入侵、植被退化等地质灾害或者生态损害的区域；</w:t>
      </w:r>
    </w:p>
    <w:p w14:paraId="11CFBE94">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(二)地下水超采区内公共供水管网覆盖或者通过替代水源已经解决供水需求的区域；</w:t>
      </w:r>
    </w:p>
    <w:p w14:paraId="3439D0F1">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(三)法律、法规规定禁止开采地下水的其他区域。</w:t>
      </w:r>
    </w:p>
    <w:p w14:paraId="36E49EDC">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有下列情形之一的，应当划为地下水限制开采区：</w:t>
      </w:r>
    </w:p>
    <w:p w14:paraId="2856A702">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(一)地下水开采量接近可开采量的区域；</w:t>
      </w:r>
    </w:p>
    <w:p w14:paraId="055E8A10">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(二)开采地下水可能引发地质灾害或者生态损害的区域；</w:t>
      </w:r>
    </w:p>
    <w:p w14:paraId="58099F87">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(三)法律、法规规定限制开采地下水的其他区域。</w:t>
      </w:r>
    </w:p>
    <w:p w14:paraId="7DBA874E">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除下列情形外，在地下水禁止开采区内禁止取用地下水：</w:t>
      </w:r>
    </w:p>
    <w:p w14:paraId="09B1B414">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(一)为保障地下工程施工安全和生产安全必须进行临时应急取(排)水；</w:t>
      </w:r>
    </w:p>
    <w:p w14:paraId="5649CB56">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(二)为消除对公共安全或者公共利益的危害临时应急取水；</w:t>
      </w:r>
    </w:p>
    <w:p w14:paraId="6776F772">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(三)为开展地下水监测、勘探、试验少量取水。</w:t>
      </w:r>
    </w:p>
    <w:p w14:paraId="20F3E7A8">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除前款规定的情形外，在地下水限制开采区内禁止新增取用地下水，并逐步削减地下水取水量；前款规定的情形消除后，应当立即停止取用地下水。</w:t>
      </w:r>
    </w:p>
    <w:p w14:paraId="5C04A5A6">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省、自治区、直辖市人民政府水行政主管部门应当会同本级人民政府有关部门，编制本行政区域地下水超采综合治理方案，经省、自治区、直辖市人民政府批准后，报国务院水行政主管部门备案。</w:t>
      </w:r>
    </w:p>
    <w:p w14:paraId="0155FCC7">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地下水超采综合治理方案应当明确治理目标、治理措施、保障措施等内容。</w:t>
      </w:r>
    </w:p>
    <w:p w14:paraId="53BE1254">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地下水超采区的县级以上地方人民政府应当加强节水型社会建设，通过加大海绵城市建设力度、调整种植结构、推广节水农业、加强工业节水、实施河湖地下水回补等措施，逐步实现地下水采补平衡。</w:t>
      </w:r>
    </w:p>
    <w:p w14:paraId="0BF0BF23">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国家在替代水源供给、公共供水管网建设、产业结构调整等方面，加大对地下水超采区地方人民政府的支持力度。</w:t>
      </w:r>
    </w:p>
    <w:p w14:paraId="7C6EF2DF">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有关县级以上地方人民政府水行政主管部门应当会同本级人民政府自然资源主管部门加强对海(咸)水入侵的监测和预防。已经出现海(咸)水入侵的地区，应当采取综合治理措施。</w:t>
      </w:r>
    </w:p>
    <w:p w14:paraId="4AA6E6EB">
      <w:pPr>
        <w:pStyle w:val="3"/>
        <w:pageBreakBefore w:val="0"/>
        <w:widowControl w:val="0"/>
        <w:kinsoku/>
        <w:wordWrap/>
        <w:overflowPunct/>
        <w:topLinePunct w:val="0"/>
        <w:autoSpaceDE/>
        <w:autoSpaceDN/>
        <w:bidi w:val="0"/>
        <w:adjustRightInd/>
        <w:snapToGrid/>
        <w:ind w:firstLine="640" w:firstLineChars="200"/>
        <w:textAlignment w:val="auto"/>
        <w:rPr>
          <w:sz w:val="32"/>
          <w:szCs w:val="32"/>
        </w:rPr>
      </w:pPr>
      <w:r>
        <w:rPr>
          <w:rFonts w:ascii="Times New Roman" w:hAnsi="Times New Roman" w:cs="Times New Roman"/>
          <w:sz w:val="32"/>
          <w:szCs w:val="32"/>
        </w:rPr>
        <w:t>第五章　污 染 防 治</w:t>
      </w:r>
    </w:p>
    <w:p w14:paraId="5D4E206C">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国务院生态环境主管部门应当会同国务院水行政、自然资源等主管部门，指导全国地下水污染防治重点区划定工作。省、自治区、直辖市人民政府生态环境主管部门应当会同本级人民政府水行政、自然资源等主管部门，根据本行政区域内地下水污染防治需要，划定地下水污染防治重点区。</w:t>
      </w:r>
    </w:p>
    <w:p w14:paraId="6716241E">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禁止下列污染或者可能污染地下水的行为：</w:t>
      </w:r>
    </w:p>
    <w:p w14:paraId="5D809095">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(一)利用渗井、渗坑、裂隙、溶洞以及私设暗管等逃避监管的方式排放水污染物；</w:t>
      </w:r>
    </w:p>
    <w:p w14:paraId="29706E76">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(二)利用岩层孔隙、裂隙、溶洞、废弃矿坑等贮存石化原料及产品、农药、危险废物、城镇污水处理设施产生的污泥和处理后的污泥或者其他有毒有害物质；</w:t>
      </w:r>
    </w:p>
    <w:p w14:paraId="283C5FBC">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(三)利用无防渗漏措施的沟渠、坑塘等输送或者贮存含有毒污染物的废水、含病原体的污水和其他废弃物；</w:t>
      </w:r>
    </w:p>
    <w:p w14:paraId="1C072193">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(四)法律、法规禁止的其他污染或者可能污染地下水的行为。</w:t>
      </w:r>
    </w:p>
    <w:p w14:paraId="1E737266">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企业事业单位和其他生产经营者应当采取下列措施，防止地下水污染：</w:t>
      </w:r>
    </w:p>
    <w:p w14:paraId="313E9520">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(一)兴建地下工程设施或者进行地下勘探、采矿等活动，依法编制的环境影响评价文件中，应当包括地下水污染防治的内容，并采取防护性措施；</w:t>
      </w:r>
    </w:p>
    <w:p w14:paraId="01495EAD">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(二)化工园区和化工项目、矿山开采区、尾矿库、危险废物处置场、垃圾填埋场等的运营、管理单位，应当采取防渗漏等措施，并建设地下水水质监测井进行监测；</w:t>
      </w:r>
    </w:p>
    <w:p w14:paraId="5AC9899C">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(三)加油站、采油厂等的地下油罐应当使用双层罐或者采取建造防渗池等其他有效措施，并进行防渗漏监测；</w:t>
      </w:r>
    </w:p>
    <w:p w14:paraId="1F9D7DCF">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(四)存放可溶性剧毒废渣的场所，应当采取防水、防渗漏、防流失的措施；</w:t>
      </w:r>
    </w:p>
    <w:p w14:paraId="0E271400">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(五)法律、法规规定应当采取的其他防止地下水污染的措施。</w:t>
      </w:r>
    </w:p>
    <w:p w14:paraId="51CA238D">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在泉域保护范围以及岩溶强发育、存在较多落水洞和岩溶漏斗的区域内，不得新建、改建、扩建可能造成地下水污染的建设项目。</w:t>
      </w:r>
    </w:p>
    <w:p w14:paraId="067A318E">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多层含水层开采、回灌地下水应当防止串层污染。</w:t>
      </w:r>
    </w:p>
    <w:p w14:paraId="0A2EAC17">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多层地下水的含水层水质差异大的，应当分层开采；对已受污染的潜水和承压水，不得混合开采。</w:t>
      </w:r>
    </w:p>
    <w:p w14:paraId="5C51EDDD">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已经造成地下水串层污染的，应当按照封填井技术要求限期回填串层开采井，并对造成的地下水污染进行治理和修复。</w:t>
      </w:r>
    </w:p>
    <w:p w14:paraId="13B8846B">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人工回灌补给地下水，应当符合相关的水质标准，不得使地下水水质恶化。</w:t>
      </w:r>
    </w:p>
    <w:p w14:paraId="7AECC304">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农业生产经营者等有关单位和个人应当科学、合理使用农药、肥料等农业投入品，农田灌溉用水应当符合相关水质标准，防止地下水污染。</w:t>
      </w:r>
    </w:p>
    <w:p w14:paraId="6DB01C49">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县级以上地方人民政府及其有关部门应当加强农药、肥料等农业投入品使用指导和技术服务，鼓励和引导农业生产经营者等有关单位和个人合理使用农药、肥料等农业投入品，防止地下水污染。</w:t>
      </w:r>
    </w:p>
    <w:p w14:paraId="2AB7A9D6">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依照《中华人民共和国生态环境法典》的有关规定，安全利用类和严格管控类农用地地块的土壤污染影响或者可能影响地下水安全的，制定防治污染的方案时，应当包括地下水污染防治的内容。</w:t>
      </w:r>
    </w:p>
    <w:p w14:paraId="55973768">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污染物含量超过土壤污染风险管控标准的建设用地地块，编制土壤污染风险评估报告时，应当包括地下水是否受到污染的内容；列入风险管控和修复名录的建设用地地块，采取的风险管控措施中应当包括地下水污染防治的内容。</w:t>
      </w:r>
    </w:p>
    <w:p w14:paraId="16627010">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对需要实施修复的农用地地块，以及列入风险管控和修复名录的建设用地地块，修复方案中应当包括地下水污染防治的内容。</w:t>
      </w:r>
    </w:p>
    <w:p w14:paraId="7090DECD">
      <w:pPr>
        <w:pStyle w:val="3"/>
        <w:pageBreakBefore w:val="0"/>
        <w:widowControl w:val="0"/>
        <w:kinsoku/>
        <w:wordWrap/>
        <w:overflowPunct/>
        <w:topLinePunct w:val="0"/>
        <w:autoSpaceDE/>
        <w:autoSpaceDN/>
        <w:bidi w:val="0"/>
        <w:adjustRightInd/>
        <w:snapToGrid/>
        <w:ind w:firstLine="640" w:firstLineChars="200"/>
        <w:textAlignment w:val="auto"/>
        <w:rPr>
          <w:sz w:val="32"/>
          <w:szCs w:val="32"/>
        </w:rPr>
      </w:pPr>
      <w:r>
        <w:rPr>
          <w:rFonts w:ascii="Times New Roman" w:hAnsi="Times New Roman" w:cs="Times New Roman"/>
          <w:sz w:val="32"/>
          <w:szCs w:val="32"/>
        </w:rPr>
        <w:t>第六章　监 督 管 理</w:t>
      </w:r>
    </w:p>
    <w:p w14:paraId="0F8F0842">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县级以上人民政府水行政、自然资源、生态环境等主管部门应当依照职责加强监督管理，完善协作配合机制。</w:t>
      </w:r>
    </w:p>
    <w:p w14:paraId="6E98BB34">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国务院水行政、自然资源、生态环境等主管部门建立统一的国家地下水监测站网和地下水监测信息共享机制，对地下水进行动态监测。</w:t>
      </w:r>
    </w:p>
    <w:p w14:paraId="7BA98FD0">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县级以上地方人民政府水行政、自然资源、生态环境等主管部门根据需要完善地下水监测工作体系，加强地下水监测。</w:t>
      </w:r>
    </w:p>
    <w:p w14:paraId="7D0C8EE8">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任何单位和个人不得侵占、毁坏或者擅自移动地下水监测设施设备及其标志。</w:t>
      </w:r>
    </w:p>
    <w:p w14:paraId="7E610598">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建、改建、扩建建设工程应当避开地下水监测设施设备；确实无法避开、需要拆除地下水监测设施设备的，应当由县级以上人民政府水行政、自然资源、生态环境等主管部门按照有关技术要求组织迁建，迁建费用由建设单位承担。</w:t>
      </w:r>
    </w:p>
    <w:p w14:paraId="0FD2DE1A">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任何单位和个人不得篡改、伪造地下水监测数据。</w:t>
      </w:r>
    </w:p>
    <w:p w14:paraId="2F7C600A">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建设地下水取水工程的单位和个人，应当在申请取水许可时附具地下水取水工程建设方案，并按照取水许可批准文件的要求，自行或者委托具有相应专业技术能力的单位进行施工。施工单位不得承揽应当取得但未取得取水许可的地下水取水工程。</w:t>
      </w:r>
    </w:p>
    <w:p w14:paraId="4C971A55">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以监测、勘探为目的的地下水取水工程，不需要申请取水许可，建设单位应当于施工前报有管辖权的水行政主管部门备案。</w:t>
      </w:r>
    </w:p>
    <w:p w14:paraId="2CFAF425">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地下水取水工程的所有权人负责工程的安全管理。</w:t>
      </w:r>
    </w:p>
    <w:p w14:paraId="3A5D585B">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县级以上地方人民政府水行政主管部门应当对本行政区域内的地下水取水工程登记造册，建立监督管理制度。</w:t>
      </w:r>
    </w:p>
    <w:p w14:paraId="78E2232A">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废的矿井、钻井、地下水取水工程，或者未建成、已完成勘探任务、依法应当停止取水的地下水取水工程，应当由工程所有权人或者管理单位实施封井或者回填；所有权人或者管理单位应当将其封井或者回填情况告知县级以上地方人民政府水行政主管部门；无法确定所有权人或者管理单位的，由县级以上地方人民政府或者其授权的部门负责组织实施封井或者回填。</w:t>
      </w:r>
    </w:p>
    <w:p w14:paraId="6CC373EC">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实施封井或者回填，应当符合国家有关技术标准。</w:t>
      </w:r>
    </w:p>
    <w:p w14:paraId="24D67D02">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县级以上地方人民政府应当组织水行政、自然资源、生态环境等主管部门，划定集中式地下水饮用水水源地并公布名录，定期组织开展地下水饮用水水源地安全评估。</w:t>
      </w:r>
    </w:p>
    <w:p w14:paraId="6872F778">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县级以上地方人民政府水行政主管部门应当会同本级人民政府自然资源等主管部门，根据水文地质条件和地下水保护要求，划定需要取水的地热能开发利用项目的禁止和限制取水范围。</w:t>
      </w:r>
    </w:p>
    <w:p w14:paraId="1E3D889D">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禁止在集中式地下水饮用水水源地建设需要取水的地热能开发利用项目。禁止抽取难以更新的地下水用于需要取水的地热能开发利用项目。</w:t>
      </w:r>
    </w:p>
    <w:p w14:paraId="22AB9A00">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需要取水的地热能开发利用项目，应当对取水和回灌进行计量，实行同一含水层等量取水和回灌，不得对地下水造成污染。达到取水规模以上的，应当安装取水和回灌在线计量设施，并将计量数据实时传输到有管理权限的水行政主管部门。取水规模由省、自治区、直辖市人民政府水行政主管部门制定、公布。</w:t>
      </w:r>
    </w:p>
    <w:p w14:paraId="44D8B6C9">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对不符合本条第一款、第二款、第三款规定的已建需要取水的地热能开发利用项目，取水单位和个人应当按照水行政主管部门的规定限期整改，整改不合格的，予以关闭。</w:t>
      </w:r>
    </w:p>
    <w:p w14:paraId="5263F9B7">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矿产资源开采、地下工程建设疏干排水量达到规模的，应当依法申请取水许可，安装排水计量设施，定期向取水许可审批机关报送疏干排水量和地下水水位状况。疏干排水量规模由省、自治区、直辖市人民政府制定、公布。</w:t>
      </w:r>
    </w:p>
    <w:p w14:paraId="77E467E9">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保障矿井等地下工程施工安全和生产安全必须进行临时应急取(排)水的，不需要申请取水许可。取(排)水单位和个人应当于临时应急取(排)水结束后5个工作日内，向有管理权限的县级以上地方人民政府水行政主管部门备案。</w:t>
      </w:r>
    </w:p>
    <w:p w14:paraId="219BEC16">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矿产资源开采、地下工程建设疏干排水应当优先利用，无法利用的应当达标排放。</w:t>
      </w:r>
    </w:p>
    <w:p w14:paraId="1D802F57">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县级以上人民政府水行政、生态环境等主管部门应当建立从事地下水节约、保护、利用活动的单位和个人的诚信档案，记录日常监督检查结果、违法行为查处等情况，并依法向社会公示。</w:t>
      </w:r>
    </w:p>
    <w:p w14:paraId="21C0A788">
      <w:pPr>
        <w:pStyle w:val="3"/>
        <w:pageBreakBefore w:val="0"/>
        <w:widowControl w:val="0"/>
        <w:kinsoku/>
        <w:wordWrap/>
        <w:overflowPunct/>
        <w:topLinePunct w:val="0"/>
        <w:autoSpaceDE/>
        <w:autoSpaceDN/>
        <w:bidi w:val="0"/>
        <w:adjustRightInd/>
        <w:snapToGrid/>
        <w:ind w:firstLine="640" w:firstLineChars="200"/>
        <w:textAlignment w:val="auto"/>
        <w:rPr>
          <w:sz w:val="32"/>
          <w:szCs w:val="32"/>
        </w:rPr>
      </w:pPr>
      <w:r>
        <w:rPr>
          <w:rFonts w:ascii="Times New Roman" w:hAnsi="Times New Roman" w:cs="Times New Roman"/>
          <w:sz w:val="32"/>
          <w:szCs w:val="32"/>
        </w:rPr>
        <w:t>第七章　法 律 责 任</w:t>
      </w:r>
    </w:p>
    <w:p w14:paraId="2174D21D">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县级以上地方人民政府，县级以上人民政府水行政、生态环境、自然资源主管部门和其他负有地下水监督管理职责的部门有下列行为之一的，由上级机关责令改正，对负有责任的主管人员和其他直接责任人员依法给予处分：</w:t>
      </w:r>
    </w:p>
    <w:p w14:paraId="6B361AEF">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(一)未采取有效措施导致本行政区域内地下水超采范围扩大，或者地下水污染状况未得到改善甚至恶化；</w:t>
      </w:r>
    </w:p>
    <w:p w14:paraId="02E77ACD">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(二)未完成本行政区域内地下水取水总量控制指标和地下水水位控制指标；</w:t>
      </w:r>
    </w:p>
    <w:p w14:paraId="70A25ED5">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(三)对地下水水位低于控制水位未采取相关措施；</w:t>
      </w:r>
    </w:p>
    <w:p w14:paraId="153B0221">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(四)发现违法行为或者接到对违法行为的检举后未予查处；</w:t>
      </w:r>
    </w:p>
    <w:p w14:paraId="2F06DB45">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(五)有其他滥用职权、玩忽职守、徇私舞弊等违法行为。</w:t>
      </w:r>
    </w:p>
    <w:p w14:paraId="690AA47F">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违反本条例规定，未经批准擅自取用地下水，或者利用渗井、渗坑、裂隙、溶洞以及私设暗管等逃避监管的方式排放水污染物等违法行为，依照《中华人民共和国生态环境法典》、《中华人民共和国水法》、《取水许可和水资源费征收管理条例》等法律、行政法规的规定处罚。</w:t>
      </w:r>
    </w:p>
    <w:p w14:paraId="717A3D09">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地下水取水工程未安装计量设施的，由县级以上地方人民政府水行政主管部门责令限期安装，并按照日最大取水能力计算的取水量计征相关费用，处10万元以上50万元以下罚款；情节严重的，吊销取水许可证。</w:t>
      </w:r>
    </w:p>
    <w:p w14:paraId="64BAA854">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计量设施不合格或者运行不正常的，由县级以上地方人民政府水行政主管部门责令限期更换或者修复；逾期不更换或者不修复的，按照日最大取水能力计算的取水量计征相关费用，处10万元以上50万元以下罚款；情节严重的，吊销取水许可证。</w:t>
      </w:r>
    </w:p>
    <w:p w14:paraId="30659B5D">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地下工程建设对地下水补给、径流、排泄等造成重大不利影响的，由县级以上地方人民政府水行政主管部门责令限期采取措施消除不利影响，处10万元以上50万元以下罚款；逾期不采取措施消除不利影响的，由县级以上地方人民政府水行政主管部门组织采取措施消除不利影响，所需费用由违法行为人承担。</w:t>
      </w:r>
    </w:p>
    <w:p w14:paraId="14CA5E35">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下工程建设应当于开工前将工程建设方案和防止对地下水产生不利影响的措施方案备案而未备案的，或者矿产资源开采、地下工程建设疏干排水应当定期报送疏干排水量和地下水水位状况而未报送的，由县级以上地方人民政府水行政主管部门责令限期补报；逾期不补报的，处2万元以上10万元以下罚款。</w:t>
      </w:r>
    </w:p>
    <w:p w14:paraId="4BC3EE82">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报废的矿井、钻井、地下水取水工程，或者未建成、已完成勘探任务、依法应当停止取水的地下水取水工程，未按照规定封井或者回填的，由县级以上地方人民政府或者其授权的部门责令封井或者回填，处10万元以上50万元以下罚款；不具备封井或者回填能力的，由县级以上地方人民政府或者其授权的部门组织封井或者回填，所需费用由违法行为人承担。</w:t>
      </w:r>
    </w:p>
    <w:p w14:paraId="2AE2F2ED">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利用岩层孔隙、裂隙、溶洞、废弃矿坑等贮存石化原料及产品、农药、危险废物或者其他有毒有害物质的，由地方人民政府生态环境主管部门责令限期改正，处10万元以上100万元以下罚款。</w:t>
      </w:r>
    </w:p>
    <w:p w14:paraId="56097B8D">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利用岩层孔隙、裂隙、溶洞、废弃矿坑等贮存城镇污水处理设施产生的污泥和处理后的污泥的，由县级以上地方人民政府城镇排水主管部门责令限期改正，处20万元以上200万元以下罚款，对直接负责的主管人员和其他直接责任人员处2万元以上10万元以下罚款；造成严重后果的，处200万元以上500万元以下罚款，对直接负责的主管人员和其他直接责任人员处5万元以上50万元以下罚款。</w:t>
      </w:r>
    </w:p>
    <w:p w14:paraId="3CB08F2A">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泉域保护范围以及岩溶强发育、存在较多落水洞和岩溶漏斗的区域内，新建、改建、扩建造成地下水污染的建设项目的，由地方人民政府生态环境主管部门处10万元以上50万元以下罚款，并报经有批准权的人民政府批准，责令拆除或者关闭。</w:t>
      </w:r>
    </w:p>
    <w:p w14:paraId="183B5D18">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侵占、毁坏或者擅自移动地下水监测设施设备及其标志的，由县级以上地方人民政府水行政、自然资源、生态环境主管部门责令停止违法行为，限期采取补救措施，处2万元以上</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0万元以下罚款；逾期不采取补救措施的，由县级以上地方人民政府水行政、自然资源、生态环境主管部门组织补救，所需费用由违法行为人承担。</w:t>
      </w:r>
    </w:p>
    <w:p w14:paraId="060C09E6">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以监测、勘探为目的的地下水取水工程在施工前应当备案而未备案的，由县级以上地方人民政府水行政主管部门责令限期补办备案手续；逾期不补办备案手续的，责令限期封井或者回填，处2万元以上10万元以下罚款；逾期不封井或者回填的，由县级以上地方人民政府水行政主管部门组织封井或者回填，所需费用由违法行为人承担。</w:t>
      </w:r>
    </w:p>
    <w:p w14:paraId="7D849055">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违反本条例规定，构成违反治安管理行为的，由公安机关依法给予治安管理处罚；构成犯罪的，依法追究刑事责任。</w:t>
      </w:r>
    </w:p>
    <w:p w14:paraId="16DEF75B">
      <w:pPr>
        <w:pStyle w:val="3"/>
        <w:pageBreakBefore w:val="0"/>
        <w:widowControl w:val="0"/>
        <w:kinsoku/>
        <w:wordWrap/>
        <w:overflowPunct/>
        <w:topLinePunct w:val="0"/>
        <w:autoSpaceDE/>
        <w:autoSpaceDN/>
        <w:bidi w:val="0"/>
        <w:adjustRightInd/>
        <w:snapToGrid/>
        <w:ind w:firstLine="640" w:firstLineChars="200"/>
        <w:textAlignment w:val="auto"/>
        <w:rPr>
          <w:sz w:val="32"/>
          <w:szCs w:val="32"/>
        </w:rPr>
      </w:pPr>
      <w:r>
        <w:rPr>
          <w:rFonts w:ascii="Times New Roman" w:hAnsi="Times New Roman" w:cs="Times New Roman"/>
          <w:sz w:val="32"/>
          <w:szCs w:val="32"/>
        </w:rPr>
        <w:t>第八章　附　　则</w:t>
      </w:r>
    </w:p>
    <w:p w14:paraId="672EA202">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本条例下列用语含义是：</w:t>
      </w:r>
    </w:p>
    <w:p w14:paraId="2A3729DF">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地下水取水工程，是指地下水取水井及其配套设施，包括水井、集水廊道、集水池、渗渠、注水井以及需要取水的地热能开发利用项目的取水井和回灌井等。</w:t>
      </w:r>
    </w:p>
    <w:p w14:paraId="7B3905AB">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地下水超采区，是指地下水实际开采量超过可开采量，引起地下水水位持续下降、引发生态损害和地质灾害的区域。</w:t>
      </w:r>
    </w:p>
    <w:p w14:paraId="210BDE1E">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难以更新的地下水，是指与大气降水和地表水体没有密切水力联系，无法补给或者补给非常缓慢的地下水。</w:t>
      </w:r>
    </w:p>
    <w:p w14:paraId="48A8F9C5">
      <w:pPr>
        <w:pStyle w:val="11"/>
        <w:pageBreakBefore w:val="0"/>
        <w:widowControl w:val="0"/>
        <w:kinsoku/>
        <w:wordWrap/>
        <w:overflowPunct/>
        <w:topLinePunct w:val="0"/>
        <w:autoSpaceDE/>
        <w:autoSpaceDN/>
        <w:bidi w:val="0"/>
        <w:adjustRightInd/>
        <w:snapToGrid/>
        <w:ind w:firstLine="640" w:firstLineChars="200"/>
        <w:jc w:val="left"/>
        <w:textAlignment w:val="auto"/>
        <w:rPr>
          <w:rFonts w:hint="eastAsia" w:ascii="楷体_GB2312" w:hAnsi="楷体_GB2312" w:eastAsia="楷体_GB2312" w:cs="楷体_GB2312"/>
          <w:bCs/>
          <w:sz w:val="32"/>
          <w:szCs w:val="32"/>
          <w:shd w:val="clear" w:color="auto" w:fill="FFFFFF"/>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本条例自2021年12月1日起施行。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72E15">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14:paraId="588D1F5E">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GQ1YTVkOTVhMDk0ZmUyYjUyNThkZWY3MzZlOWY1YmM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AB304A"/>
    <w:rsid w:val="01B023D3"/>
    <w:rsid w:val="01CF6706"/>
    <w:rsid w:val="026D2287"/>
    <w:rsid w:val="02982C5B"/>
    <w:rsid w:val="029A493F"/>
    <w:rsid w:val="02B836F8"/>
    <w:rsid w:val="02D35454"/>
    <w:rsid w:val="02D3568D"/>
    <w:rsid w:val="03356D16"/>
    <w:rsid w:val="03985ADA"/>
    <w:rsid w:val="039F0CBD"/>
    <w:rsid w:val="03C9760A"/>
    <w:rsid w:val="04401145"/>
    <w:rsid w:val="051529ED"/>
    <w:rsid w:val="058213F7"/>
    <w:rsid w:val="06A0228E"/>
    <w:rsid w:val="06E72AA9"/>
    <w:rsid w:val="07405EF4"/>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0EBE2E9F"/>
    <w:rsid w:val="107A4DEE"/>
    <w:rsid w:val="10A47D69"/>
    <w:rsid w:val="11366EEC"/>
    <w:rsid w:val="12146020"/>
    <w:rsid w:val="12C10B30"/>
    <w:rsid w:val="12F06217"/>
    <w:rsid w:val="134A1994"/>
    <w:rsid w:val="136642B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BC528A"/>
    <w:rsid w:val="1BAF2172"/>
    <w:rsid w:val="1C6F6A7C"/>
    <w:rsid w:val="1C9212F7"/>
    <w:rsid w:val="1FE16FBA"/>
    <w:rsid w:val="2006452E"/>
    <w:rsid w:val="2096095A"/>
    <w:rsid w:val="20D86240"/>
    <w:rsid w:val="21CE0F2E"/>
    <w:rsid w:val="221D0BEA"/>
    <w:rsid w:val="22DD4281"/>
    <w:rsid w:val="23812232"/>
    <w:rsid w:val="253620CC"/>
    <w:rsid w:val="25636DDB"/>
    <w:rsid w:val="25981EEB"/>
    <w:rsid w:val="25BF3D61"/>
    <w:rsid w:val="25F044FF"/>
    <w:rsid w:val="26A760E3"/>
    <w:rsid w:val="26C10A61"/>
    <w:rsid w:val="26CA1A3A"/>
    <w:rsid w:val="27680A3B"/>
    <w:rsid w:val="278A0CBD"/>
    <w:rsid w:val="27A96F19"/>
    <w:rsid w:val="2834230D"/>
    <w:rsid w:val="287A18EA"/>
    <w:rsid w:val="28F8723D"/>
    <w:rsid w:val="2A8D0D45"/>
    <w:rsid w:val="2B01664D"/>
    <w:rsid w:val="2C7458A4"/>
    <w:rsid w:val="2D644059"/>
    <w:rsid w:val="2DB7496A"/>
    <w:rsid w:val="2DBE0D65"/>
    <w:rsid w:val="2DDE6B1E"/>
    <w:rsid w:val="2E1B43B4"/>
    <w:rsid w:val="2ED32E01"/>
    <w:rsid w:val="2F435B16"/>
    <w:rsid w:val="2FF20DF5"/>
    <w:rsid w:val="313E5963"/>
    <w:rsid w:val="318138A8"/>
    <w:rsid w:val="31F05688"/>
    <w:rsid w:val="320E2B0A"/>
    <w:rsid w:val="32252208"/>
    <w:rsid w:val="3242780E"/>
    <w:rsid w:val="330D4027"/>
    <w:rsid w:val="3330356C"/>
    <w:rsid w:val="33CF5811"/>
    <w:rsid w:val="34031BBE"/>
    <w:rsid w:val="349C60FB"/>
    <w:rsid w:val="35095248"/>
    <w:rsid w:val="355560D1"/>
    <w:rsid w:val="37EB78B4"/>
    <w:rsid w:val="386D21AD"/>
    <w:rsid w:val="387E7233"/>
    <w:rsid w:val="38851898"/>
    <w:rsid w:val="388D0D28"/>
    <w:rsid w:val="38E057F5"/>
    <w:rsid w:val="39C71577"/>
    <w:rsid w:val="3A7915E5"/>
    <w:rsid w:val="3B1265AF"/>
    <w:rsid w:val="3B596812"/>
    <w:rsid w:val="3BA0652C"/>
    <w:rsid w:val="3C372D12"/>
    <w:rsid w:val="3CA23060"/>
    <w:rsid w:val="3CAF6F9F"/>
    <w:rsid w:val="3CDF39C7"/>
    <w:rsid w:val="3D762392"/>
    <w:rsid w:val="3DFC6899"/>
    <w:rsid w:val="3E3675FB"/>
    <w:rsid w:val="3EEC1919"/>
    <w:rsid w:val="3F2F1CF1"/>
    <w:rsid w:val="3F800236"/>
    <w:rsid w:val="3F8C783C"/>
    <w:rsid w:val="40226A0B"/>
    <w:rsid w:val="405D2A61"/>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BC117E6"/>
    <w:rsid w:val="4D7C1855"/>
    <w:rsid w:val="4DC87E21"/>
    <w:rsid w:val="4E4E7955"/>
    <w:rsid w:val="4E6A2FDF"/>
    <w:rsid w:val="4EDF3D2B"/>
    <w:rsid w:val="4EED79F5"/>
    <w:rsid w:val="5080370D"/>
    <w:rsid w:val="512A1D93"/>
    <w:rsid w:val="5146198F"/>
    <w:rsid w:val="51F44E31"/>
    <w:rsid w:val="523F45D1"/>
    <w:rsid w:val="524F6E89"/>
    <w:rsid w:val="52695AB4"/>
    <w:rsid w:val="529D4C7B"/>
    <w:rsid w:val="53495A7C"/>
    <w:rsid w:val="538059B1"/>
    <w:rsid w:val="53BF5C69"/>
    <w:rsid w:val="53DA0A43"/>
    <w:rsid w:val="54031803"/>
    <w:rsid w:val="54942BB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575403"/>
    <w:rsid w:val="5F88093C"/>
    <w:rsid w:val="5FDB251D"/>
    <w:rsid w:val="60492E1B"/>
    <w:rsid w:val="60FB7125"/>
    <w:rsid w:val="610C0AC7"/>
    <w:rsid w:val="61152047"/>
    <w:rsid w:val="61BA4E90"/>
    <w:rsid w:val="61D27B22"/>
    <w:rsid w:val="620467BA"/>
    <w:rsid w:val="622D2BEC"/>
    <w:rsid w:val="62F60DE0"/>
    <w:rsid w:val="63DD0DD3"/>
    <w:rsid w:val="640D2936"/>
    <w:rsid w:val="641F5EE8"/>
    <w:rsid w:val="649C0E8F"/>
    <w:rsid w:val="65152017"/>
    <w:rsid w:val="65532802"/>
    <w:rsid w:val="65BF6566"/>
    <w:rsid w:val="665D25F4"/>
    <w:rsid w:val="66E50FB1"/>
    <w:rsid w:val="674048E2"/>
    <w:rsid w:val="67D71794"/>
    <w:rsid w:val="67DE6474"/>
    <w:rsid w:val="68426F20"/>
    <w:rsid w:val="68715924"/>
    <w:rsid w:val="6A403C00"/>
    <w:rsid w:val="6B4C7D1B"/>
    <w:rsid w:val="6BA0659B"/>
    <w:rsid w:val="6BC16491"/>
    <w:rsid w:val="6C267EB4"/>
    <w:rsid w:val="6CD653AF"/>
    <w:rsid w:val="6D1363D3"/>
    <w:rsid w:val="6D15429C"/>
    <w:rsid w:val="6D614426"/>
    <w:rsid w:val="6D88378A"/>
    <w:rsid w:val="6DA577A5"/>
    <w:rsid w:val="6DB8609B"/>
    <w:rsid w:val="6DB87D30"/>
    <w:rsid w:val="6E804287"/>
    <w:rsid w:val="6EB30283"/>
    <w:rsid w:val="6F605325"/>
    <w:rsid w:val="70817970"/>
    <w:rsid w:val="712B5699"/>
    <w:rsid w:val="718B17C2"/>
    <w:rsid w:val="71DE60AD"/>
    <w:rsid w:val="72A30A90"/>
    <w:rsid w:val="72AE5309"/>
    <w:rsid w:val="72C042BE"/>
    <w:rsid w:val="735A6A5C"/>
    <w:rsid w:val="73AF3C73"/>
    <w:rsid w:val="746D1278"/>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E0776A9"/>
    <w:rsid w:val="7E600C51"/>
    <w:rsid w:val="7E6C694C"/>
    <w:rsid w:val="7E8622B0"/>
    <w:rsid w:val="7ED17F92"/>
    <w:rsid w:val="7F891221"/>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22</Pages>
  <Words>9429</Words>
  <Characters>9469</Characters>
  <Lines>69</Lines>
  <Paragraphs>19</Paragraphs>
  <TotalTime>0</TotalTime>
  <ScaleCrop>false</ScaleCrop>
  <LinksUpToDate>false</LinksUpToDate>
  <CharactersWithSpaces>9558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zl.</cp:lastModifiedBy>
  <dcterms:modified xsi:type="dcterms:W3CDTF">2026-08-19T09:33:06Z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AAC7F7B6F5494A41BADB80700CA67999</vt:lpwstr>
  </property>
  <property fmtid="{D5CDD505-2E9C-101B-9397-08002B2CF9AE}" pid="4" name="KSOTemplateDocerSaveRecord">
    <vt:lpwstr>eyJoZGlkIjoiOTUwOTc4Yjk1ZDNkMDc0NmY1ZjRkOTUxYTEzNmZiZTEiLCJ1c2VySWQiOiIyMDM2NzgzNDQifQ==</vt:lpwstr>
  </property>
</Properties>
</file>