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ADBBC">
      <w:pPr>
        <w:pStyle w:val="3"/>
        <w:jc w:val="center"/>
        <w:rPr>
          <w:rFonts w:hint="eastAsia" w:ascii="Times New Roman" w:hAnsi="Times New Roman" w:cs="Times New Roman"/>
          <w:sz w:val="44"/>
          <w:szCs w:val="44"/>
        </w:rPr>
      </w:pPr>
    </w:p>
    <w:p w14:paraId="63ED6A3F">
      <w:pPr>
        <w:pStyle w:val="3"/>
        <w:jc w:val="center"/>
        <w:rPr>
          <w:rFonts w:hint="eastAsia" w:ascii="Times New Roman" w:hAnsi="Times New Roman" w:cs="Times New Roman"/>
          <w:sz w:val="44"/>
          <w:szCs w:val="44"/>
          <w:lang w:eastAsia="zh-CN"/>
        </w:rPr>
      </w:pPr>
      <w:r>
        <w:rPr>
          <w:rFonts w:hint="eastAsia" w:ascii="Times New Roman" w:hAnsi="Times New Roman" w:cs="Times New Roman"/>
          <w:sz w:val="44"/>
          <w:szCs w:val="44"/>
          <w:lang w:eastAsia="zh-CN"/>
        </w:rPr>
        <w:t>民用建筑节能条例</w:t>
      </w:r>
    </w:p>
    <w:p w14:paraId="7FCEB587">
      <w:pPr>
        <w:pStyle w:val="3"/>
        <w:ind w:firstLine="640" w:firstLineChars="200"/>
        <w:rPr>
          <w:rFonts w:hint="eastAsia" w:ascii="Times New Roman" w:hAnsi="Times New Roman" w:eastAsia="楷体_GB2312" w:cs="Times New Roman"/>
          <w:sz w:val="32"/>
          <w:szCs w:val="32"/>
        </w:rPr>
      </w:pPr>
    </w:p>
    <w:p w14:paraId="21961581">
      <w:pPr>
        <w:pStyle w:val="3"/>
        <w:ind w:firstLine="664"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lang w:val="en-US" w:eastAsia="zh-CN"/>
        </w:rPr>
        <w:t>(2008年8月1日中华人民共和国国务院令第530号公布　根据2026年8月8日《国务院关于修改和废止部分行政法规的决定》修订)</w:t>
      </w:r>
    </w:p>
    <w:p w14:paraId="2C33958B">
      <w:pPr>
        <w:pStyle w:val="2"/>
        <w:rPr>
          <w:rFonts w:ascii="方正黑体_GBK"/>
        </w:rPr>
      </w:pPr>
      <w:r>
        <w:rPr>
          <w:rFonts w:hint="eastAsia" w:ascii="方正黑体_GBK" w:hAnsi="Times New Roman" w:cs="Times New Roman"/>
        </w:rPr>
        <w:t>第一章　总</w:t>
      </w:r>
      <w:r>
        <w:rPr>
          <w:rFonts w:ascii="Times New Roman" w:hAnsi="Times New Roman" w:cs="Times New Roman"/>
          <w:sz w:val="32"/>
          <w:szCs w:val="32"/>
        </w:rPr>
        <w:t>　　</w:t>
      </w:r>
      <w:r>
        <w:rPr>
          <w:rFonts w:hint="eastAsia" w:ascii="方正黑体_GBK" w:hAnsi="Times New Roman" w:cs="Times New Roman"/>
        </w:rPr>
        <w:t>则</w:t>
      </w:r>
    </w:p>
    <w:p w14:paraId="664A1A1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为了加强民用建筑节能管理，降低民用建筑使用过程中的能源消耗，提高能源利用效率，制定本条例。</w:t>
      </w:r>
    </w:p>
    <w:p w14:paraId="180EE3F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本条例所称民用建筑节能，是指在保证民用建筑使用功能和室内热环境质量的前提下，降低其使用过程中能源消耗的活动。</w:t>
      </w:r>
    </w:p>
    <w:p w14:paraId="212065A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本条例所称民用建筑，是指居住建筑、国家机关办公建筑和商业、服务业、教育、卫生等其他公共建筑。</w:t>
      </w:r>
    </w:p>
    <w:p w14:paraId="4439F42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各级人民政府应当加强对民用建筑节能工作的领导，积极培育民用建筑节能服务市场，健全民用建筑节能服务体系，推动民用建筑节能技术的开发应用，做好民用建筑节能知识的宣传教育工作。</w:t>
      </w:r>
    </w:p>
    <w:p w14:paraId="49977F6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国家鼓励和扶持在新建建筑和既有建筑节能改造中采用太阳能、地热能等可再生能源。</w:t>
      </w:r>
    </w:p>
    <w:p w14:paraId="0900492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在具备太阳能利用条件的地区，有关地方人民政府及其部门应当采取有效措施，鼓励和扶持单位、个人安装使用太阳能热水系统、照明系统、供热系统、采暖制冷系统等太阳能利用系统。</w:t>
      </w:r>
    </w:p>
    <w:p w14:paraId="63A8353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国务院建设主管部门负责全国民用建筑节能的监督管理工作。县级以上地方人民政府建设主管部门负责本行政区域民用建筑节能的监督管理工作。</w:t>
      </w:r>
    </w:p>
    <w:p w14:paraId="3430841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县级以上人民政府有关部门应当依照本条例的规定以及本级人民政府规定的职责分工，负责民用建筑节能的有关工作。</w:t>
      </w:r>
    </w:p>
    <w:p w14:paraId="3F8F56F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国务院建设主管部门应当在国家节能中长期专项规划指导下，编制全国民用建筑节能规划，并与相关规划相衔接。</w:t>
      </w:r>
    </w:p>
    <w:p w14:paraId="1D38D8F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县级以上地方人民政府建设主管部门应当组织编制本行政区域的民用建筑节能规划，报本级人民政府批准后实施。</w:t>
      </w:r>
    </w:p>
    <w:p w14:paraId="5C1C29F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国家建立健全民用建筑节能标准体系。国家民用建筑节能标准由国务院建设主管部门负责组织制定，并依照法定程序发布。</w:t>
      </w:r>
    </w:p>
    <w:p w14:paraId="6F3B7EA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国家鼓励制定、采用优于国家民用建筑节能标准的地方民用建筑节能标准。</w:t>
      </w:r>
    </w:p>
    <w:p w14:paraId="52321BD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县级以上人民政府应当安排民用建筑节能资金，用于支持民用建筑节能的科学技术研究和标准制定、既有建筑围护结构和供热系统的节能改造、可再生能源的应用，以及民用建筑节能示范工程、节能项目的推广。</w:t>
      </w:r>
    </w:p>
    <w:p w14:paraId="5534551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政府引导金融机构对既有建筑节能改造、可再生能源的应用，以及民用建筑节能示范工程等项目提供支持。</w:t>
      </w:r>
    </w:p>
    <w:p w14:paraId="5154F8D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民用建筑节能项目依法享受税收优惠。</w:t>
      </w:r>
    </w:p>
    <w:p w14:paraId="1C425C4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国家积极推进供热体制改革，完善供热价格形成机制，鼓励发展集中供热，逐步实行按照用热量收费制度。</w:t>
      </w:r>
    </w:p>
    <w:p w14:paraId="4B04FFD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对在民用建筑节能工作中做出显著成绩的单位和个人，按照国家有关规定给予表彰和奖励。</w:t>
      </w:r>
    </w:p>
    <w:p w14:paraId="7B51E6CD">
      <w:pPr>
        <w:pStyle w:val="2"/>
        <w:rPr>
          <w:rFonts w:ascii="方正黑体_GBK"/>
        </w:rPr>
      </w:pPr>
      <w:r>
        <w:rPr>
          <w:rFonts w:hint="eastAsia" w:ascii="方正黑体_GBK" w:hAnsi="Times New Roman" w:cs="Times New Roman"/>
        </w:rPr>
        <w:t>第二章　新建建筑节能</w:t>
      </w:r>
    </w:p>
    <w:p w14:paraId="0E130DB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推广使用民用建筑节能的新技术、新工艺、新材料和新设备，限制使用或者禁止使用能源消耗高的技术、工艺、材料和设备。国务院节能工作主管部门、建设主管部门应当制定、公布并及时更新推广使用、限制使用、禁止使用目录。</w:t>
      </w:r>
    </w:p>
    <w:p w14:paraId="5CF39CD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国家限制进口或者禁止进口能源消耗高的技术、材料和设备。</w:t>
      </w:r>
    </w:p>
    <w:p w14:paraId="24EE474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建设单位、设计单位、施工单位不得在建筑活动中使用列入禁止使用目录的技术、工艺、材料和设备。</w:t>
      </w:r>
    </w:p>
    <w:p w14:paraId="339609A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编制城市详细规划、镇详细规划，应当按照民用建筑节能的要求，确定建筑的布局、形状和朝向。</w:t>
      </w:r>
    </w:p>
    <w:p w14:paraId="5034DD6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规划主管部门依法对民用建筑进行规划审查，应当就设计方案是否符合民用建筑节能强制性标准征求同级建设主管部门的意见；建设主管部门应当自收到征求意见材料之日起10日内提出意见。征求意见时间不计算在规划许可的期限内。</w:t>
      </w:r>
    </w:p>
    <w:p w14:paraId="1915744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对不符合民用建筑节能强制性标准的，不得颁发建设工程规划许可证。</w:t>
      </w:r>
    </w:p>
    <w:p w14:paraId="429F258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施工图设计文件审查机构应当按照民用建筑节能强制性标准对施工图设计文件进行审查；经审查不符合民用建筑节能强制性标准的，县级以上地方人民政府建设主管部门不得颁发施工许可证。</w:t>
      </w:r>
    </w:p>
    <w:p w14:paraId="6C8CEC1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建设单位不得明示或者暗示设计单位、施工单位违反民用建筑节能强制性标准进行设计、施工，不得明示或者暗示施工单位使用不符合施工图设计文件要求的墙体材料、保温材料、门窗、采暖制冷系统和照明设备。</w:t>
      </w:r>
    </w:p>
    <w:p w14:paraId="3EED1A2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按照合同约定由建设单位采购墙体材料、保温材料、门窗、采暖制冷系统和照明设备的，建设单位应当保证其符合施工图设计文件要求。</w:t>
      </w:r>
    </w:p>
    <w:p w14:paraId="14313C2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设计单位、施工单位、工程监理单位及其注册执业人员，应当按照民用建筑节能强制性标准进行设计、施工、监理。</w:t>
      </w:r>
    </w:p>
    <w:p w14:paraId="287B1E4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施工单位应当对进入施工现场的墙体材料、保温材料、门窗、采暖制冷系统和照明设备进行查验；不符合施工图设计文件要求的，不得使用。</w:t>
      </w:r>
    </w:p>
    <w:p w14:paraId="7B31C1F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工程监理单位发现施工单位不按照民用建筑节能强制性标准施工的，应当要求施工单位改正；施工单位拒不改正的，工程监理单位应当及时报告建设单位，并向有关主管部门报告。</w:t>
      </w:r>
    </w:p>
    <w:p w14:paraId="0A98900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墙体、屋面的保温工程施工时，监理工程师应当按照工程监理规范的要求，采取旁站、巡视和平行检验等形式实施监理。</w:t>
      </w:r>
    </w:p>
    <w:p w14:paraId="4225C0F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未经监理工程师签字，墙体材料、保温材料、门窗、采暖制冷系统和照明设备不得在建筑上使用或者安装，施工单位不得进行下一道工序的施工。</w:t>
      </w:r>
    </w:p>
    <w:p w14:paraId="41BB3F3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建设单位组织竣工验收，应当对民用建筑是否符合民用建筑节能强制性标准进行查验；对不符合民用建筑节能强制性标准的，不得出具竣工验收合格报告。</w:t>
      </w:r>
    </w:p>
    <w:p w14:paraId="1809872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实行集中供热的建筑应当安装供热系统调控装置、用热计量装置和室内温度调控装置；公共建筑还应当安装用电分项计量装置。居住建筑安装的用热计量装置应当满足分户计量的要求。</w:t>
      </w:r>
    </w:p>
    <w:p w14:paraId="0FBD624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计量装置应当依法检定合格。</w:t>
      </w:r>
    </w:p>
    <w:p w14:paraId="7DC84C6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建筑的公共走廊、楼梯等部位，应当安装、使用节能灯具和电气控制装置。</w:t>
      </w:r>
    </w:p>
    <w:p w14:paraId="6E4F01C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对具备可再生能源利用条件的建筑，建设单位应当选择合适的可再生能源，用于采暖、制冷、照明和热水供应等；设计单位应当按照有关可再生能源利用的标准进行设计。</w:t>
      </w:r>
    </w:p>
    <w:p w14:paraId="4B23A19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建设可再生能源利用设施，应当与建筑主体工程同步设计、同步施工、同步验收。</w:t>
      </w:r>
    </w:p>
    <w:p w14:paraId="37FCFAC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国家机关办公建筑和大型公共建筑的所有权人应当对建筑的能源利用效率进行测评和标识，并按照国家有关规定将测评结果予以公示，接受社会监督。</w:t>
      </w:r>
    </w:p>
    <w:p w14:paraId="6C90B5E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国家机关办公建筑应当安装、使用节能设备。</w:t>
      </w:r>
    </w:p>
    <w:p w14:paraId="5CD5512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本条例所称大型公共建筑，是指单体建筑面积2万平方米以上的公共建筑。</w:t>
      </w:r>
    </w:p>
    <w:p w14:paraId="23312AA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房地产开发企业销售商品房，应当向购买人明示所售商品房的能源消耗指标、节能措施和保护要求、保温工程保修期等信息，并在商品房买卖合同和住宅质量保证书、住宅使用说明书中载明。</w:t>
      </w:r>
    </w:p>
    <w:p w14:paraId="15A565F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在正常使用条件下，保温工程的最低保修期限为5年。保温工程的保修期，自竣工验收合格之日起计算。</w:t>
      </w:r>
    </w:p>
    <w:p w14:paraId="42D08C2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保温工程在保修范围和保修期内发生质量问题的，施工单位应当履行保修义务，并对造成的损失依法承担赔偿责任。</w:t>
      </w:r>
    </w:p>
    <w:p w14:paraId="73AF8A4A">
      <w:pPr>
        <w:pStyle w:val="2"/>
        <w:rPr>
          <w:rFonts w:ascii="方正黑体_GBK"/>
        </w:rPr>
      </w:pPr>
      <w:r>
        <w:rPr>
          <w:rFonts w:hint="eastAsia" w:ascii="方正黑体_GBK" w:hAnsi="Times New Roman" w:cs="Times New Roman"/>
        </w:rPr>
        <w:t>第三章　既有建筑节能</w:t>
      </w:r>
    </w:p>
    <w:p w14:paraId="644DD44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既有建筑节能改造应当根据当地经济、社会发展水平和地理气候条件等实际情况，有计划、分步骤地实施分类改造。</w:t>
      </w:r>
    </w:p>
    <w:p w14:paraId="3AEA89A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本条例所称既有建筑节能改造，是指对不符合民用建筑节能强制性标准的既有建筑的围护结构、供热系统、采暖制冷系统、照明设备和热水供应设施等实施节能改造的活动。</w:t>
      </w:r>
    </w:p>
    <w:p w14:paraId="165F71A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县级以上地方人民政府建设主管部门应当对本行政区域内既有建筑的建设年代、结构形式、用能系统、能源消耗指标、寿命周期等组织调查统计和分析，制定既有建筑节能改造计划，明确节能改造的目标、范围和要求，报本级人民政府批准后组织实施。</w:t>
      </w:r>
    </w:p>
    <w:p w14:paraId="0B876E3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中央国家机关既有建筑的节能改造，由有关管理机关事务工作的机构制定节能改造计划，并组织实施。</w:t>
      </w:r>
    </w:p>
    <w:p w14:paraId="1372047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国家机关办公建筑、政府投资和以政府投资为主的公共建筑的节能改造，应当制定节能改造方案，经充分论证，并按照国家有关规定办理相关审批手续方可进行。</w:t>
      </w:r>
    </w:p>
    <w:p w14:paraId="37351CF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各级人民政府及其有关部门、单位不得违反国家有关规定和标准，以节能改造的名义对前款规定的既有建筑进行扩建、改建。</w:t>
      </w:r>
    </w:p>
    <w:p w14:paraId="7872C6C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居住建筑和本条例第二十六条规定以外的其他公共建筑不符合民用建筑节能强制性标准的，在尊重建筑所有权人意愿的基础上，可以结合扩建、改建，逐步实施节能改造。</w:t>
      </w:r>
    </w:p>
    <w:p w14:paraId="4B34E9F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实施既有建筑节能改造，应当符合民用建筑节能强制性标准，优先采用遮阳、改善通风等低成本改造措施。</w:t>
      </w:r>
    </w:p>
    <w:p w14:paraId="38A75A7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既有建筑围护结构的改造和供热系统的改造，应当同步进行。</w:t>
      </w:r>
    </w:p>
    <w:p w14:paraId="30F6E94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对实行集中供热的建筑进行节能改造，应当安装供热系统调控装置和用热计量装置；对公共建筑进行节能改造，还应当安装室内温度调控装置和用电分项计量装置。</w:t>
      </w:r>
    </w:p>
    <w:p w14:paraId="2353692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国家机关办公建筑的节能改造费用，由县级以上人民政府纳入本级财政预算。</w:t>
      </w:r>
    </w:p>
    <w:p w14:paraId="07B59F6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居住建筑和教育、科学、文化、卫生、体育等公益事业使用的公共建筑节能改造费用，由政府、建筑所有权人共同负担。</w:t>
      </w:r>
    </w:p>
    <w:p w14:paraId="4B26D2B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国家鼓励社会资金投资既有建筑节能改造。</w:t>
      </w:r>
    </w:p>
    <w:p w14:paraId="78546946">
      <w:pPr>
        <w:pStyle w:val="2"/>
        <w:rPr>
          <w:rFonts w:ascii="方正黑体_GBK"/>
        </w:rPr>
      </w:pPr>
      <w:r>
        <w:rPr>
          <w:rFonts w:hint="eastAsia" w:ascii="方正黑体_GBK" w:hAnsi="Times New Roman" w:cs="Times New Roman"/>
        </w:rPr>
        <w:t>第四章　建筑用能系统运行节能</w:t>
      </w:r>
    </w:p>
    <w:p w14:paraId="02459A9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建筑所有权人或者使用权人应当保证建筑用能系统的正常运行，不得人为损坏建筑围护结构和用能系统。</w:t>
      </w:r>
    </w:p>
    <w:p w14:paraId="32EE79E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国家机关办公建筑和大型公共建筑的所有权人或者使用权人应当建立健全民用建筑节能管理制度和操作规程，对建筑用能系统进行监测、维护，并定期将分项用电量报县级以上地方人民政府建设主管部门。</w:t>
      </w:r>
    </w:p>
    <w:p w14:paraId="2F42D29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县级以上地方人民政府节能工作主管部门应当会同同级建设主管部门确定本行政区域内公共建筑重点用电单位及其年度用电限额。</w:t>
      </w:r>
    </w:p>
    <w:p w14:paraId="3485BE9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建设主管部门应当对本行政区域内国家机关办公建筑和公共建筑用电情况进行调查统计和评价分析。国家机关办公建筑和大型公共建筑采暖、制冷、照明的能源消耗情况应当依照法律、行政法规和国家其他有关规定向社会公布。</w:t>
      </w:r>
    </w:p>
    <w:p w14:paraId="66007D0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国家机关办公建筑和公共建筑的所有权人或者使用权人应当对县级以上地方人民政府建设主管部门的调查统计工作予以配合。</w:t>
      </w:r>
    </w:p>
    <w:p w14:paraId="397072F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供热单位应当建立健全相关制度，加强对专业技术人员的教育和培训。</w:t>
      </w:r>
    </w:p>
    <w:p w14:paraId="762693C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供热单位应当改进技术装备，实施计量管理，并对供热系统进行监测、维护，提高供热系统的效率，保证供热系统的运行符合民用建筑节能强制性标准。</w:t>
      </w:r>
    </w:p>
    <w:p w14:paraId="0FD85C3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建设主管部门应当对本行政区域内供热单位的能源消耗情况进行调查统计和分析，并制定供热单位能源消耗指标；对超过能源消耗指标的，应当要求供热单位制定相应的改进措施，并监督实施。</w:t>
      </w:r>
    </w:p>
    <w:p w14:paraId="6913C325">
      <w:pPr>
        <w:pStyle w:val="2"/>
        <w:rPr>
          <w:rFonts w:ascii="方正黑体_GBK"/>
        </w:rPr>
      </w:pPr>
      <w:r>
        <w:rPr>
          <w:rFonts w:hint="eastAsia" w:ascii="方正黑体_GBK" w:hAnsi="Times New Roman" w:cs="Times New Roman"/>
        </w:rPr>
        <w:t>第五章　法</w:t>
      </w:r>
      <w:r>
        <w:rPr>
          <w:rFonts w:ascii="Times New Roman" w:hAnsi="Times New Roman" w:cs="Times New Roman"/>
          <w:sz w:val="32"/>
          <w:szCs w:val="32"/>
        </w:rPr>
        <w:t xml:space="preserve"> </w:t>
      </w:r>
      <w:r>
        <w:rPr>
          <w:rFonts w:hint="eastAsia" w:ascii="方正黑体_GBK" w:hAnsi="Times New Roman" w:cs="Times New Roman"/>
        </w:rPr>
        <w:t>律</w:t>
      </w:r>
      <w:r>
        <w:rPr>
          <w:rFonts w:ascii="Times New Roman" w:hAnsi="Times New Roman" w:cs="Times New Roman"/>
          <w:sz w:val="32"/>
          <w:szCs w:val="32"/>
        </w:rPr>
        <w:t xml:space="preserve"> </w:t>
      </w:r>
      <w:r>
        <w:rPr>
          <w:rFonts w:hint="eastAsia" w:ascii="方正黑体_GBK" w:hAnsi="Times New Roman" w:cs="Times New Roman"/>
        </w:rPr>
        <w:t>责</w:t>
      </w:r>
      <w:r>
        <w:rPr>
          <w:rFonts w:ascii="Times New Roman" w:hAnsi="Times New Roman" w:cs="Times New Roman"/>
          <w:sz w:val="32"/>
          <w:szCs w:val="32"/>
        </w:rPr>
        <w:t xml:space="preserve"> </w:t>
      </w:r>
      <w:r>
        <w:rPr>
          <w:rFonts w:hint="eastAsia" w:ascii="方正黑体_GBK" w:hAnsi="Times New Roman" w:cs="Times New Roman"/>
        </w:rPr>
        <w:t>任</w:t>
      </w:r>
    </w:p>
    <w:p w14:paraId="3502FDB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违反本条例规定，县级以上人民政府有关部门有下列行为之一的，对负有责任的主管人员和其他直接责任人员依法给予处分；构成犯罪的，依法追究刑事责任：</w:t>
      </w:r>
    </w:p>
    <w:p w14:paraId="041CD19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(一)对设计方案不符合民用建筑节能强制性标准的民用建筑项目颁发建设工程规划许可证的；</w:t>
      </w:r>
    </w:p>
    <w:p w14:paraId="4D42DB6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(二)对不符合民用建筑节能强制性标准的设计方案出具合格意见的；</w:t>
      </w:r>
    </w:p>
    <w:p w14:paraId="1DDD826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(三)对施工图设计文件不符合民用建筑节能强制性标准的民用建筑项目颁发施工许可证的；</w:t>
      </w:r>
    </w:p>
    <w:p w14:paraId="1B1CE13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(四)不依法履行监督管理职责的其他行为。</w:t>
      </w:r>
    </w:p>
    <w:p w14:paraId="7796603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违反本条例规定，各级人民政府及其有关部门、单位违反国家有关规定和标准，以节能改造的名义对既有建筑进行扩建、改建的，对负有责任的主管人员和其他直接责任人员，依法给予处分。</w:t>
      </w:r>
    </w:p>
    <w:p w14:paraId="7F97E2F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违反本条例规定，建设单位有下列行为之一的，由县级以上地方人民政府建设主管部门责令改正，处20万元以上50万元以下的罚款：</w:t>
      </w:r>
    </w:p>
    <w:p w14:paraId="519A1C1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(一)明示或者暗示设计单位、施工单位违反民用建筑节能强制性标准进行设计、施工的；</w:t>
      </w:r>
    </w:p>
    <w:p w14:paraId="43EE613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(二)明示或者暗示施工单位使用不符合施工图设计文件要求的墙体材料、保温材料、门窗、采暖制冷系统和照明设备的；</w:t>
      </w:r>
    </w:p>
    <w:p w14:paraId="401DEE71">
      <w:pPr>
        <w:pStyle w:val="3"/>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(三)采购不符合施工图设计文件要求的墙体材料、保温材料、门窗、采暖制冷系统和照明设备的</w:t>
      </w:r>
      <w:r>
        <w:rPr>
          <w:rFonts w:hint="eastAsia" w:ascii="仿宋_GB2312" w:hAnsi="仿宋_GB2312" w:eastAsia="仿宋_GB2312" w:cs="仿宋_GB2312"/>
          <w:sz w:val="32"/>
          <w:szCs w:val="32"/>
          <w:lang w:eastAsia="zh-CN"/>
        </w:rPr>
        <w:t>。</w:t>
      </w:r>
    </w:p>
    <w:p w14:paraId="306298C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建设单位、设计单位、施工单位使用国家有关目录、名录中禁止或者淘汰的技术、工艺、材料、设备的，由县级以上人民政府建设主管部门责令改正，没收违法所得，并处货值金额1倍以上5倍以下的罚款；情节严重的，报经有批准权的人民政府批准，责令停业、关闭。</w:t>
      </w:r>
    </w:p>
    <w:p w14:paraId="046E32C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p>
    <w:p w14:paraId="39F6932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违反本条例规定，设计单位未按照民用建筑节能强制性标准进行设计</w:t>
      </w:r>
      <w:bookmarkStart w:id="0" w:name="_GoBack"/>
      <w:r>
        <w:rPr>
          <w:rFonts w:hint="eastAsia" w:ascii="仿宋_GB2312" w:hAnsi="仿宋_GB2312" w:eastAsia="仿宋_GB2312" w:cs="仿宋_GB2312"/>
          <w:sz w:val="32"/>
          <w:szCs w:val="32"/>
          <w:highlight w:val="none"/>
        </w:rPr>
        <w:t>的</w:t>
      </w:r>
      <w:bookmarkEnd w:id="0"/>
      <w:r>
        <w:rPr>
          <w:rFonts w:hint="eastAsia" w:ascii="仿宋_GB2312" w:hAnsi="仿宋_GB2312" w:eastAsia="仿宋_GB2312" w:cs="仿宋_GB2312"/>
          <w:sz w:val="32"/>
          <w:szCs w:val="32"/>
        </w:rPr>
        <w:t>，由县级以上地方人民政府建设主管部门责令改正，处10万元以上30万元以下的罚款；情节严重的，由颁发资质证书的部门责令停业整顿，降低资质等级或者吊销资质证书；造成损失的，依法承担赔偿责任。</w:t>
      </w:r>
    </w:p>
    <w:p w14:paraId="4C19507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p w14:paraId="198B433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w:t>
      </w:r>
    </w:p>
    <w:p w14:paraId="2E89BF5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(一)未对进入施工现场的墙体材料、保温材料、门窗、采暖制冷系统和照明设备进行查验的；</w:t>
      </w:r>
    </w:p>
    <w:p w14:paraId="03F828FB">
      <w:pPr>
        <w:pStyle w:val="3"/>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(二)使用不符合施工图设计文件要求的墙体材料、保温材料、门窗、采暖制冷系统和照明设备的</w:t>
      </w:r>
      <w:r>
        <w:rPr>
          <w:rFonts w:hint="eastAsia" w:ascii="仿宋_GB2312" w:hAnsi="仿宋_GB2312" w:eastAsia="仿宋_GB2312" w:cs="仿宋_GB2312"/>
          <w:sz w:val="32"/>
          <w:szCs w:val="32"/>
          <w:lang w:eastAsia="zh-CN"/>
        </w:rPr>
        <w:t>。</w:t>
      </w:r>
    </w:p>
    <w:p w14:paraId="4A6351B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14:paraId="2A5CC8F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(一)未按照民用建筑节能强制性标准实施监理的；</w:t>
      </w:r>
    </w:p>
    <w:p w14:paraId="11E093D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(二)墙体、屋面的保温工程施工时，未采取旁站、巡视和平行检验等形式实施监理的。</w:t>
      </w:r>
    </w:p>
    <w:p w14:paraId="2AF0658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对不符合施工图设计文件要求的墙体材料、保温材料、门窗、采暖制冷系统和照明设备，按照符合施工图设计文件要求签字的，依照《建设工程质量管理条例》第六十七条的规定处罚。</w:t>
      </w:r>
    </w:p>
    <w:p w14:paraId="462D4AC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2%以下的罚款；情节严重的，由颁发资质证书的部门降低资质等级或者吊销资质证书。</w:t>
      </w:r>
    </w:p>
    <w:p w14:paraId="37CE889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违反本条例规定，注册执业人员未执行民用建筑节能强制性标准的，由县级以上人民政府建设主管部门责令停止执业3个月以上1年以下；情节严重的，由颁发资格证书的部门吊销执业资格证书，5年内不予注册。</w:t>
      </w:r>
    </w:p>
    <w:p w14:paraId="18CFA730">
      <w:pPr>
        <w:pStyle w:val="2"/>
        <w:numPr>
          <w:ilvl w:val="0"/>
          <w:numId w:val="1"/>
        </w:numPr>
        <w:rPr>
          <w:rFonts w:hint="eastAsia" w:ascii="方正黑体_GBK" w:hAnsi="Times New Roman" w:cs="Times New Roman"/>
        </w:rPr>
      </w:pPr>
      <w:r>
        <w:rPr>
          <w:rFonts w:hint="eastAsia" w:ascii="方正黑体_GBK" w:hAnsi="Times New Roman" w:cs="Times New Roman"/>
        </w:rPr>
        <w:t>附</w:t>
      </w:r>
      <w:r>
        <w:rPr>
          <w:rFonts w:ascii="Times New Roman" w:hAnsi="Times New Roman" w:cs="Times New Roman"/>
          <w:sz w:val="32"/>
          <w:szCs w:val="32"/>
        </w:rPr>
        <w:t>　　</w:t>
      </w:r>
      <w:r>
        <w:rPr>
          <w:rFonts w:hint="eastAsia" w:ascii="方正黑体_GBK" w:hAnsi="Times New Roman" w:cs="Times New Roman"/>
        </w:rPr>
        <w:t>则</w:t>
      </w:r>
    </w:p>
    <w:p w14:paraId="6DEA6659">
      <w:pPr>
        <w:pStyle w:val="3"/>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方正黑体_GBK" w:hAnsi="方正黑体_GBK" w:eastAsia="方正黑体_GBK" w:cs="方正黑体_GBK"/>
          <w:sz w:val="32"/>
          <w:szCs w:val="32"/>
        </w:rPr>
        <w:t>第四十</w:t>
      </w: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条　</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条例自2008年10月1日起施行。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B205">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276E02E6">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3C534"/>
    <w:multiLevelType w:val="singleLevel"/>
    <w:tmpl w:val="5A43C534"/>
    <w:lvl w:ilvl="0" w:tentative="0">
      <w:start w:val="6"/>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4E55657"/>
    <w:rsid w:val="00595878"/>
    <w:rsid w:val="00C60A6B"/>
    <w:rsid w:val="00DF137D"/>
    <w:rsid w:val="0131124C"/>
    <w:rsid w:val="09D019BF"/>
    <w:rsid w:val="0A73514E"/>
    <w:rsid w:val="0F405FC8"/>
    <w:rsid w:val="10B22749"/>
    <w:rsid w:val="1B2D759B"/>
    <w:rsid w:val="1D70046D"/>
    <w:rsid w:val="245E6823"/>
    <w:rsid w:val="24E85C9D"/>
    <w:rsid w:val="265C2D3C"/>
    <w:rsid w:val="27DE0614"/>
    <w:rsid w:val="2D214A86"/>
    <w:rsid w:val="2ED00512"/>
    <w:rsid w:val="30981D47"/>
    <w:rsid w:val="31C14142"/>
    <w:rsid w:val="3C7A1ABD"/>
    <w:rsid w:val="3D2D6B2F"/>
    <w:rsid w:val="44B00772"/>
    <w:rsid w:val="54326FA9"/>
    <w:rsid w:val="554C74C9"/>
    <w:rsid w:val="5DA44FD8"/>
    <w:rsid w:val="5EE55177"/>
    <w:rsid w:val="64E55657"/>
    <w:rsid w:val="6506759B"/>
    <w:rsid w:val="66AC5BA9"/>
    <w:rsid w:val="671821E3"/>
    <w:rsid w:val="6FDD5585"/>
    <w:rsid w:val="731C0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5710</Words>
  <Characters>5737</Characters>
  <Lines>41</Lines>
  <Paragraphs>11</Paragraphs>
  <TotalTime>9</TotalTime>
  <ScaleCrop>false</ScaleCrop>
  <LinksUpToDate>false</LinksUpToDate>
  <CharactersWithSpaces>5795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2019-05-22T14:25:00Z</dcterms:created>
  <dc:creator>Administrator</dc:creator>
  <cp:lastModifiedBy>zl.</cp:lastModifiedBy>
  <dcterms:modified xsi:type="dcterms:W3CDTF">2026-08-24T07:49:06Z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F1525A9E1F4541BE97DCF57937BEF2F5_12</vt:lpwstr>
  </property>
</Properties>
</file>