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A14426">
      <w:pPr>
        <w:jc w:val="center"/>
        <w:rPr>
          <w:b/>
          <w:bCs/>
          <w:sz w:val="44"/>
          <w:szCs w:val="44"/>
        </w:rPr>
      </w:pPr>
    </w:p>
    <w:p w14:paraId="1CCA9C9F">
      <w:pPr>
        <w:widowControl/>
        <w:spacing w:line="500" w:lineRule="exact"/>
        <w:jc w:val="center"/>
        <w:rPr>
          <w:rFonts w:hint="eastAsia" w:ascii="宋体" w:hAnsi="宋体" w:cs="宋体"/>
          <w:color w:val="333333"/>
          <w:sz w:val="44"/>
          <w:szCs w:val="44"/>
          <w:shd w:val="clear" w:color="auto" w:fill="FFFFFF"/>
        </w:rPr>
      </w:pPr>
      <w:r>
        <w:rPr>
          <w:rFonts w:hint="eastAsia" w:ascii="宋体" w:hAnsi="宋体" w:cs="宋体"/>
          <w:color w:val="333333"/>
          <w:sz w:val="44"/>
          <w:szCs w:val="44"/>
          <w:shd w:val="clear" w:color="auto" w:fill="FFFFFF"/>
          <w:lang w:eastAsia="zh-CN"/>
        </w:rPr>
        <w:t>退役军人就业创业促进条例</w:t>
      </w:r>
    </w:p>
    <w:p w14:paraId="27A4839C">
      <w:pPr>
        <w:widowControl/>
        <w:spacing w:line="500" w:lineRule="exact"/>
        <w:jc w:val="center"/>
        <w:rPr>
          <w:rFonts w:hint="eastAsia" w:ascii="宋体" w:hAnsi="宋体" w:cs="宋体"/>
          <w:color w:val="333333"/>
          <w:sz w:val="44"/>
          <w:szCs w:val="44"/>
          <w:shd w:val="clear" w:color="auto" w:fill="FFFFFF"/>
        </w:rPr>
      </w:pPr>
    </w:p>
    <w:p w14:paraId="4B3FF620">
      <w:pPr>
        <w:pStyle w:val="11"/>
        <w:ind w:firstLine="640" w:firstLineChars="200"/>
        <w:rPr>
          <w:rFonts w:hint="eastAsia" w:ascii="楷体_GB2312" w:hAnsi="楷体_GB2312" w:eastAsia="楷体_GB2312" w:cs="楷体_GB2312"/>
          <w:bCs/>
          <w:spacing w:val="0"/>
          <w:kern w:val="2"/>
          <w:sz w:val="32"/>
          <w:szCs w:val="32"/>
          <w:shd w:val="clear" w:color="auto" w:fill="FFFFFF"/>
          <w:lang w:val="en-US" w:eastAsia="zh-CN" w:bidi="ar-SA"/>
        </w:rPr>
      </w:pPr>
      <w:r>
        <w:rPr>
          <w:rFonts w:hint="eastAsia" w:ascii="楷体_GB2312" w:hAnsi="楷体_GB2312" w:eastAsia="楷体_GB2312" w:cs="楷体_GB2312"/>
          <w:bCs/>
          <w:spacing w:val="0"/>
          <w:kern w:val="2"/>
          <w:sz w:val="32"/>
          <w:szCs w:val="32"/>
          <w:shd w:val="clear" w:color="auto" w:fill="FFFFFF"/>
          <w:lang w:val="en-US" w:eastAsia="zh-CN" w:bidi="ar-SA"/>
        </w:rPr>
        <w:t>(2026年6月5日国务院第88次常务会议通过　2026年6</w:t>
      </w:r>
      <w:r>
        <w:rPr>
          <w:rFonts w:hint="eastAsia" w:ascii="楷体_GB2312" w:hAnsi="楷体_GB2312" w:eastAsia="楷体_GB2312" w:cs="楷体_GB2312"/>
          <w:bCs/>
          <w:spacing w:val="6"/>
          <w:kern w:val="2"/>
          <w:sz w:val="32"/>
          <w:szCs w:val="32"/>
          <w:shd w:val="clear" w:color="auto" w:fill="FFFFFF"/>
          <w:lang w:val="en-US" w:eastAsia="zh-CN" w:bidi="ar-SA"/>
        </w:rPr>
        <w:t>月26日中华人民共和国国务院令第840号公布　自2026年8月1日起施行)</w:t>
      </w:r>
    </w:p>
    <w:p w14:paraId="66F65769">
      <w:pPr>
        <w:pStyle w:val="3"/>
        <w:rPr>
          <w:sz w:val="32"/>
          <w:szCs w:val="32"/>
        </w:rPr>
      </w:pPr>
      <w:r>
        <w:rPr>
          <w:rFonts w:ascii="Times New Roman" w:hAnsi="Times New Roman" w:cs="Times New Roman"/>
          <w:sz w:val="32"/>
          <w:szCs w:val="32"/>
        </w:rPr>
        <w:t>第一章　总　　则</w:t>
      </w:r>
    </w:p>
    <w:p w14:paraId="7093C35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促进退役军人就业创业，发挥退役军人人力资源作用，维护退役军人合法权益，让军人成为全社会尊崇的职业，根据《中华人民共和国退役军人保障法》、《中华人民共和国就业促进法》等有关法律，制定本条例。</w:t>
      </w:r>
    </w:p>
    <w:p w14:paraId="3165694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退役军人就业创业工作坚持中国共产党的领导，坚持普惠与优待叠加的原则，采取政府推动、市场引导、社会支持相结合的方式，鼓励和扶持退役军人就业创业。</w:t>
      </w:r>
    </w:p>
    <w:p w14:paraId="3111B6F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引导退役军人树立正确的择业观念，通过教育培训、就业支持、创业扶持等措施，促进退役军人高质量充分就业。</w:t>
      </w:r>
    </w:p>
    <w:p w14:paraId="3BED5F9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国家将退役军人就业创业工作纳入有关规划。</w:t>
      </w:r>
    </w:p>
    <w:p w14:paraId="3CA82D8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各级人民政府应当加强对退役军人就业创业的指导和服务，推动机关、群团组织、企业事业单位等各负其责、密切配合，形成支持退役军人就业创业的合力。</w:t>
      </w:r>
    </w:p>
    <w:p w14:paraId="64745D2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国务院退役军人工作主管部门、人力资源社会保障部门以及中央和国家机关其他有关部门按照职责分工做好退役军人就业创业工作。</w:t>
      </w:r>
    </w:p>
    <w:p w14:paraId="1C7E334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县级以上地方人民政府退役军人工作主管部门应当加强对退役军人就业创业的宣传、组织、协调等工作。地方各级有关机关应当在各自职责范围内做好退役军人就业创业工作。</w:t>
      </w:r>
    </w:p>
    <w:p w14:paraId="0EE327C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尊重、关爱退役军人是全社会的共同责任。国家鼓励和引导企业、社会组织、个人等社会力量依法为退役军人就业创业提供支持和帮助。</w:t>
      </w:r>
    </w:p>
    <w:p w14:paraId="1DB1AB9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退役军人在就业创业活动中应当模范遵守宪法和法律法规，保守军事秘密，践行社会主义核心价值观，积极参加社会主义现代化建设。</w:t>
      </w:r>
    </w:p>
    <w:p w14:paraId="3633DE9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国家依法对退役军人就业创业给予经费支持，标准应当与经济社会发展水平和财力状况相适应。</w:t>
      </w:r>
    </w:p>
    <w:p w14:paraId="229FE437">
      <w:pPr>
        <w:pStyle w:val="3"/>
        <w:bidi w:val="0"/>
      </w:pPr>
      <w:r>
        <w:t>第二章　教 育 培 训</w:t>
      </w:r>
    </w:p>
    <w:p w14:paraId="019721A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国家采取措施加强对退役军人的教育培训，帮助退役军人完善知识结构，提高思想政治水平、职业技能水平和综合职业素养，提升就业创业能力。</w:t>
      </w:r>
    </w:p>
    <w:p w14:paraId="3B9BEFD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国家鼓励退役军人接受学历教育，提升学历层次，增强就业创业发展潜力。</w:t>
      </w:r>
    </w:p>
    <w:p w14:paraId="02EE8B2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国家鼓励退役军人接受职业学校教育，提升技术技能，增强职业综合素质和行动能力。</w:t>
      </w:r>
    </w:p>
    <w:p w14:paraId="5352B93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军人入伍前已被普通高等学校录取或者是正在普通高等学校就学的学生，服现役期间保留入学资格或者学籍，退役后2年内允许入学或者复学，可以按照国家有关规定转入本校其他专业学习。</w:t>
      </w:r>
    </w:p>
    <w:p w14:paraId="7F37D2D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退役军人参加国家教育考试的，按照国家有关规定享受优待政策。</w:t>
      </w:r>
    </w:p>
    <w:p w14:paraId="47991C7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退役军人在接受学历教育时，按照国家有关规定享受学费和助学金资助等国家教育资助政策。</w:t>
      </w:r>
    </w:p>
    <w:p w14:paraId="0A4BFEF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县级以上地方人民政府兵役机关、退役军人工作主管部门按照职责分工负责对退役军人考生和复学学生的政策宣传、身份审核工作，教育行政部门负责资助资格审核工作。</w:t>
      </w:r>
    </w:p>
    <w:p w14:paraId="0262917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鼓励各地出台政策支持退役军人参加高等教育自学考试和各类高等学校举办的高等学历继续教育。</w:t>
      </w:r>
    </w:p>
    <w:p w14:paraId="11EAE4F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鼓励普通高等学校、职业院校(含技工院校)等针对退役军人特点，优化人才培养方案。</w:t>
      </w:r>
    </w:p>
    <w:p w14:paraId="2D19242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退役军人培训工作应当以提高就业质量为导向，紧密围绕社会需求，适应科技创新和产业发展趋势，为退役军人提供有特色、精细化、针对性强的培训服务。</w:t>
      </w:r>
    </w:p>
    <w:p w14:paraId="3DC895F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县级以上地方人民政府退役军人工作主管部门根据驻地部队需要，协助开展职业技能储备培训和离队前教育。</w:t>
      </w:r>
    </w:p>
    <w:p w14:paraId="740411F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军人退出现役后，退役军人工作主管部门和其他负责退役军人安置工作的部门应当区分不同安置方式的退役军人，组织适应性培训。培训应当使用适合退役军人特点的教材，培训时长不得少于国家规定的时长。</w:t>
      </w:r>
    </w:p>
    <w:p w14:paraId="593A8EC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符合条件的退役军人参加职业技能培训的，按照规定享受职业技能培训补贴等相应扶持政策。</w:t>
      </w:r>
    </w:p>
    <w:p w14:paraId="6D5200F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安置地人民政府退役军人工作主管部门应当根据未达到法定退休年龄的自主就业退役军士和义务兵的就业需求，组织其免费参加职业技能培训，或者在其参加职业技能培训后在安置地标准内给予培训补贴。</w:t>
      </w:r>
    </w:p>
    <w:p w14:paraId="5F97F92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自主就业的退役军士和义务兵原则上在安置地参加职业技能培训。经安置地人民政府退役军人工作主管部门批准，在安置地以外地区参加职业技能培训的，培训结束并经安置地人民政府退役军人工作主管部门审核同意后，在安置地标准内给予培训补贴。</w:t>
      </w:r>
    </w:p>
    <w:p w14:paraId="2AB3145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省级人民政府退役军人工作主管部门负责统筹本行政区域内退役军人职业技能培训工作，明确总体计划、管理机制、发展方向等，可以根据实际情况会同有关部门制定公布职业技能培训项目参考目录，结合实际组织实施示范培训。</w:t>
      </w:r>
    </w:p>
    <w:p w14:paraId="6672A82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区的市级人民政府退役军人工作主管部门及其授权的县级人民政府退役军人工作主管部门负责本行政区域内退役军人职业技能培训的具体组织实施，结合本地区产业发展和急需紧缺职业需要，综合考虑自主就业的退役军士和义务兵就业需求，会同有关部门制定公布职业技能培训项目参考目录。</w:t>
      </w:r>
    </w:p>
    <w:p w14:paraId="5CD6329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组织实施职业技能培训的地方人民政府退役军人工作主管部门按照规定从普通高等学校、职业院校(含技工院校)、专业培训机构中确定承训机构，签订承训合同，公告承训机构信息，并动态更新。涉及政府采购的，应当严格执行政府采购有关规定。</w:t>
      </w:r>
    </w:p>
    <w:p w14:paraId="6DFD029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承训机构应当建立健全教学管理制度、学员管理</w:t>
      </w:r>
      <w:r>
        <w:rPr>
          <w:rFonts w:hint="eastAsia" w:ascii="仿宋_GB2312" w:hAnsi="仿宋_GB2312" w:eastAsia="仿宋_GB2312" w:cs="仿宋_GB2312"/>
          <w:spacing w:val="-6"/>
          <w:sz w:val="32"/>
          <w:szCs w:val="32"/>
        </w:rPr>
        <w:t>制度</w:t>
      </w:r>
      <w:r>
        <w:rPr>
          <w:rFonts w:hint="eastAsia" w:ascii="仿宋_GB2312" w:hAnsi="仿宋_GB2312" w:eastAsia="仿宋_GB2312" w:cs="仿宋_GB2312"/>
          <w:spacing w:val="-6"/>
          <w:sz w:val="32"/>
          <w:szCs w:val="32"/>
        </w:rPr>
        <w:t>、安全管理制度，组织学员参加职业能力评价，推荐就业岗位。</w:t>
      </w:r>
    </w:p>
    <w:p w14:paraId="5443D77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鼓励承训机构共享优质培训资源。</w:t>
      </w:r>
    </w:p>
    <w:p w14:paraId="79AF456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省级人民政府退役军人工作主管部门会同有关部门对承训机构加强动态管理，建立以学员满意度、职业技能评价、培训后就业情况等为主要指标的培训质量评价标准，定期对培训质量进行检查，提高职业技能培训质量和水平。</w:t>
      </w:r>
    </w:p>
    <w:p w14:paraId="0A79DE2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鼓励公共实训基地主动承接退役军人职业技能培训项目，面向退役军人就业需求和市场需求设置有针对性的培训课程。</w:t>
      </w:r>
    </w:p>
    <w:p w14:paraId="0E22C5E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国家推行终身职业技能培训制度，将退役军人职业技能培训纳入终身职业技能培训政策和组织实施体系。</w:t>
      </w:r>
    </w:p>
    <w:p w14:paraId="1222C30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国务院退役军人工作主管部门完善网络课程体系，为退役军人提供便捷化网络学习服务。</w:t>
      </w:r>
    </w:p>
    <w:p w14:paraId="0ADD342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鼓励用人单位定期组织招用的退役军人参加岗位技能提升和知识更新培训。</w:t>
      </w:r>
    </w:p>
    <w:p w14:paraId="07AD18F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发挥普通高等学校、职业院校(含技工院校)等教学资源优势，加强校内培训服务，支持退役军人学生在获得学历证书的同时，经考试考核合格取得相应的职业资格证书或者职业技能等级证书。</w:t>
      </w:r>
    </w:p>
    <w:p w14:paraId="0CE1FA0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退役军人服现役期间取得的技能人员职业资格证书，作为其退出现役后从事相应职业(工种)的合法凭证，在全国范围内通用。</w:t>
      </w:r>
    </w:p>
    <w:p w14:paraId="2617B61F">
      <w:pPr>
        <w:pStyle w:val="3"/>
        <w:bidi w:val="0"/>
      </w:pPr>
      <w:r>
        <w:t>第三章　就 业 支 持</w:t>
      </w:r>
    </w:p>
    <w:p w14:paraId="0C8849B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国家支持退役军人多渠道就业，引导退役军人发挥自身优势投身社会主义现代化建设。</w:t>
      </w:r>
    </w:p>
    <w:p w14:paraId="3245A76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自主就业的退役军士和义务兵入伍前是机关、群团组织、事业单位或者国有企业人员的，退出现役后可以选择复职复工，其工资、福利待遇不得低于本单位同等条件人员的平均水平。</w:t>
      </w:r>
    </w:p>
    <w:p w14:paraId="4F132FE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机关、群团组织、事业单位和国有企业在招录或者招聘人员时，对退役军人的年龄和学历条件可以适当放宽，同等条件下优先招录、招聘退役军人。国有企业招聘人员时，可以根据需要设置一定比例的岗位招聘退役军人。</w:t>
      </w:r>
    </w:p>
    <w:p w14:paraId="00766B6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鼓励和引导前款规定以外的其他用人单位在招用人员时，同等条件下优先招用退役军人。</w:t>
      </w:r>
    </w:p>
    <w:p w14:paraId="7578B51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用人单位招用退役军人符合国家规定的，依法享受税收优惠等政策。</w:t>
      </w:r>
    </w:p>
    <w:p w14:paraId="48FD8A3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各地应当设置一定数量的基层公务员职位，面向服现役满5年的高校毕业生退役军人招考。</w:t>
      </w:r>
    </w:p>
    <w:p w14:paraId="7CAA0F1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服现役满5年的高校毕业生退役军人可以报考面向服务基层项目人员定向考录的职位，同服务基层项目人员共享公务员定向考录计划。</w:t>
      </w:r>
    </w:p>
    <w:p w14:paraId="290064A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各级有关机关在组织开展选调生工作时，应当注重选调有服役经历的符合条件的优秀大学生。</w:t>
      </w:r>
    </w:p>
    <w:p w14:paraId="1FE8B43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艰苦边远地区县乡事业单位可以按照有关规定</w:t>
      </w:r>
      <w:r>
        <w:rPr>
          <w:rFonts w:hint="eastAsia" w:ascii="仿宋_GB2312" w:hAnsi="仿宋_GB2312" w:eastAsia="仿宋_GB2312" w:cs="仿宋_GB2312"/>
          <w:spacing w:val="-6"/>
          <w:sz w:val="32"/>
          <w:szCs w:val="32"/>
        </w:rPr>
        <w:t>对退役军人进行专项招聘，并增加工作实绩在组织考察中的权</w:t>
      </w:r>
      <w:r>
        <w:rPr>
          <w:rFonts w:hint="eastAsia" w:ascii="仿宋_GB2312" w:hAnsi="仿宋_GB2312" w:eastAsia="仿宋_GB2312" w:cs="仿宋_GB2312"/>
          <w:sz w:val="32"/>
          <w:szCs w:val="32"/>
        </w:rPr>
        <w:t>重。</w:t>
      </w:r>
    </w:p>
    <w:p w14:paraId="07AB265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促进符合条件的优秀退役军人到中小学任教。各地在制定中小学教师招聘计划时，可以面向退役军人单列计划。</w:t>
      </w:r>
    </w:p>
    <w:p w14:paraId="761FEF9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各地应当注重从优秀退役军人中选聘党的基层组织、社区和村专职工作人员。</w:t>
      </w:r>
    </w:p>
    <w:p w14:paraId="588AB2A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各级退役军人工作主管部门直属事业单位、乡镇(街道)退役军人服务站应当优先招聘符合条件的退役军人。</w:t>
      </w:r>
    </w:p>
    <w:p w14:paraId="5AE87BA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国家综合性消防救援队伍招录消防员时，应当设置一定比例的计划专项招录退役军士和义务兵。</w:t>
      </w:r>
    </w:p>
    <w:p w14:paraId="02AC7DA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招聘警务辅助人员时，同等条件下应当优先招聘退役军人。</w:t>
      </w:r>
    </w:p>
    <w:p w14:paraId="161FB8B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军队文职人员岗位、国防教育机构岗位等应当优先选用符合条件的退役军人。</w:t>
      </w:r>
    </w:p>
    <w:p w14:paraId="67D3D03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退役军官在军队团和相当于团以下单位工作的经历，退役军士和义务兵服现役的经历，视为基层工作经历。</w:t>
      </w:r>
    </w:p>
    <w:p w14:paraId="50BDF92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退役军人服现役年限计算为工龄，退役后与所在单位工作年</w:t>
      </w:r>
      <w:r>
        <w:rPr>
          <w:rFonts w:hint="eastAsia" w:ascii="仿宋_GB2312" w:hAnsi="仿宋_GB2312" w:eastAsia="仿宋_GB2312" w:cs="仿宋_GB2312"/>
          <w:spacing w:val="-6"/>
          <w:sz w:val="32"/>
          <w:szCs w:val="32"/>
        </w:rPr>
        <w:t>限累计计算，享受国家和所在单位规定的与工龄有关的相应</w:t>
      </w:r>
      <w:r>
        <w:rPr>
          <w:rFonts w:hint="eastAsia" w:ascii="仿宋_GB2312" w:hAnsi="仿宋_GB2312" w:eastAsia="仿宋_GB2312" w:cs="仿宋_GB2312"/>
          <w:sz w:val="32"/>
          <w:szCs w:val="32"/>
        </w:rPr>
        <w:t>待遇。</w:t>
      </w:r>
    </w:p>
    <w:p w14:paraId="381D284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县级以上地方人民政府退役军人工作主管部门应当会同有关部门开展退役军人就业推荐、职业指导，定期组织退役军人招聘活动，开展形式多样的岗位推介，为退役军人就业搭建平台。</w:t>
      </w:r>
    </w:p>
    <w:p w14:paraId="72B4222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公共人力资源服务机构应当免费为退役军人提供职业介绍、职业指导等服务。</w:t>
      </w:r>
    </w:p>
    <w:p w14:paraId="24B0F6E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地方各级人民政府应当将符合就业困难人员认定条件的退役军人纳入就业援助范围，优先提供帮扶。</w:t>
      </w:r>
    </w:p>
    <w:p w14:paraId="50D7A23D">
      <w:pPr>
        <w:pStyle w:val="3"/>
        <w:bidi w:val="0"/>
      </w:pPr>
      <w:r>
        <w:t>第四章　创 业 扶 持</w:t>
      </w:r>
    </w:p>
    <w:p w14:paraId="53EB7F2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鼓励和支持有条件、有意愿的退役军人创业，带动更多就业。</w:t>
      </w:r>
    </w:p>
    <w:p w14:paraId="4EC1C35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退役军人从事个体经营，依法享受税收优惠等政策。</w:t>
      </w:r>
    </w:p>
    <w:p w14:paraId="6DA6DAE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退役军人创业，可以按照国家有关规定申请创业担保贷款，并享受贷款贴息等融资优惠政策。</w:t>
      </w:r>
    </w:p>
    <w:p w14:paraId="4655005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金融机构应当按照市场化原则，依法依规提供符合退役军人创业需求的金融产品和服务，扩大退役军人信贷服务覆盖面。</w:t>
      </w:r>
    </w:p>
    <w:p w14:paraId="2BFCC13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鼓励社会资本设立退役军人创业基金，拓宽退役军人融资渠道。</w:t>
      </w:r>
    </w:p>
    <w:p w14:paraId="2598010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县级以上地方人民政府投资建设或者与社会共建的创业基地(园区)等可以通过开辟专区等形式，优先为退役军人创业提供服务。</w:t>
      </w:r>
    </w:p>
    <w:p w14:paraId="1C593D0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有条件的地区可以建立退役军人创业载体，为退役军人创业提供经营场地、投资融资、项目对接等方面的优先、优惠服务。</w:t>
      </w:r>
    </w:p>
    <w:p w14:paraId="6CCF845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县级以上地方人民政府应当支持引导有创业意愿和培训需求的退役军人参加创业培训。</w:t>
      </w:r>
    </w:p>
    <w:p w14:paraId="56A6B1E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鼓励县级以上地方人民政府退役军人工作主管部门建立退役军人创业服务团队，发挥创业指导、吸纳退役军人就业、企业互助发展等方面作用。</w:t>
      </w:r>
    </w:p>
    <w:p w14:paraId="3697E6C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国务院部门、县级以上地方人民政府及其部门设立的政务服务机构、公共服务机构等应当设置退役军人窗口或者绿色通道，为退役军人创业提供登记注册、税费办理、补贴申领等服务。</w:t>
      </w:r>
    </w:p>
    <w:p w14:paraId="72FBCF7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鼓励退役军人围绕新技术、新产业、新业态以及国家重点扶持领域创业创新。支持退役军人创办的符合条件的中小企业参与科技型中小企业评价。</w:t>
      </w:r>
    </w:p>
    <w:p w14:paraId="5DA6D23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县级以上人民政府退役军人工作主管部门应当采取多种举措促进退役军人创业创新赛事活动优秀项目成果转化。</w:t>
      </w:r>
    </w:p>
    <w:p w14:paraId="1263B3C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县级以上人民政府退役军人工作主管部门应当引导退役军人用好各项创业扶持优惠政策。</w:t>
      </w:r>
    </w:p>
    <w:p w14:paraId="1AED3433">
      <w:pPr>
        <w:pStyle w:val="3"/>
        <w:bidi w:val="0"/>
      </w:pPr>
      <w:r>
        <w:t>第五章　法 律 责 任</w:t>
      </w:r>
    </w:p>
    <w:p w14:paraId="5476677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退役军人工作主管部门及其工作人员有下列行为之一的，由其上级主管部门责令改正；对负有责任的领导人员和直接责任人员依法给予处分：</w:t>
      </w:r>
    </w:p>
    <w:p w14:paraId="7C74976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(一)在退役军人就业创业工作中出具虚假文件的；</w:t>
      </w:r>
    </w:p>
    <w:p w14:paraId="2C7C498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(二)挪用、截留、私分退役军人就业创业工作等经费的；</w:t>
      </w:r>
    </w:p>
    <w:p w14:paraId="560E5BA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(三)在退役军人就业创业工作中利用职务之便为自己或者他人谋取私利的；</w:t>
      </w:r>
    </w:p>
    <w:p w14:paraId="2C51742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(四)在退役军人就业创业工作中失职渎职的；</w:t>
      </w:r>
    </w:p>
    <w:p w14:paraId="7374683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(五)有其他违反法律法规行为的。</w:t>
      </w:r>
    </w:p>
    <w:p w14:paraId="33EFDFF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其他负责退役军人就业创业有关工作的部门及其工作人员违反本条例规定的，由其上级主管部门责令改正；对负有责任的领导人员和直接责任人员依法给予处分。</w:t>
      </w:r>
    </w:p>
    <w:p w14:paraId="0C0E7D8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退役军人弄虚作假骗取相关待遇的，由有关主管部门取消待遇，追缴非法所得，并由其所在单位或者有关部门依法给予处分。</w:t>
      </w:r>
    </w:p>
    <w:p w14:paraId="5C0A68A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违反本条例规定，构成违反治安管理行为的，依法给予治安管理处罚；构成犯罪的，依法追究刑事责任。</w:t>
      </w:r>
    </w:p>
    <w:p w14:paraId="18BC2259">
      <w:pPr>
        <w:pStyle w:val="3"/>
        <w:bidi w:val="0"/>
      </w:pPr>
      <w:r>
        <w:t>第六章　附　　则</w:t>
      </w:r>
    </w:p>
    <w:p w14:paraId="630ACE8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中国人民武装警察部队依法退出现役的警官、警士和义务兵等人员，适用本条例。</w:t>
      </w:r>
    </w:p>
    <w:p w14:paraId="6C2F7EAD">
      <w:pPr>
        <w:pStyle w:val="11"/>
        <w:ind w:firstLine="640" w:firstLineChars="200"/>
        <w:rPr>
          <w:rFonts w:hint="eastAsia" w:ascii="仿宋_GB2312" w:hAnsi="仿宋_GB2312" w:eastAsia="仿宋_GB2312" w:cs="仿宋_GB2312"/>
          <w:sz w:val="32"/>
          <w:szCs w:val="32"/>
          <w:lang w:val="en-US" w:eastAsia="zh-CN"/>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本条例自2026年8月1日起施行。</w:t>
      </w:r>
      <w:bookmarkStart w:id="0" w:name="_GoBack"/>
      <w:bookmarkEnd w:id="0"/>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48528">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14:paraId="5033BC63">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D1DBB"/>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080A12"/>
    <w:rsid w:val="012B0674"/>
    <w:rsid w:val="0152181F"/>
    <w:rsid w:val="01AB304A"/>
    <w:rsid w:val="01B023D3"/>
    <w:rsid w:val="01CF6706"/>
    <w:rsid w:val="026D2287"/>
    <w:rsid w:val="02982C5B"/>
    <w:rsid w:val="029A493F"/>
    <w:rsid w:val="02B836F8"/>
    <w:rsid w:val="02D3568D"/>
    <w:rsid w:val="03356D16"/>
    <w:rsid w:val="038C592B"/>
    <w:rsid w:val="03947591"/>
    <w:rsid w:val="03985ADA"/>
    <w:rsid w:val="039F0CBD"/>
    <w:rsid w:val="03C9760A"/>
    <w:rsid w:val="04401145"/>
    <w:rsid w:val="051529ED"/>
    <w:rsid w:val="058213F7"/>
    <w:rsid w:val="062E4A7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6B232A"/>
    <w:rsid w:val="0D88679D"/>
    <w:rsid w:val="0DFE10B9"/>
    <w:rsid w:val="0EBE2E9F"/>
    <w:rsid w:val="0EEA5BFB"/>
    <w:rsid w:val="10447F7A"/>
    <w:rsid w:val="107A4DEE"/>
    <w:rsid w:val="10A47D69"/>
    <w:rsid w:val="11366EEC"/>
    <w:rsid w:val="12146020"/>
    <w:rsid w:val="1298550F"/>
    <w:rsid w:val="12C10B30"/>
    <w:rsid w:val="12D34430"/>
    <w:rsid w:val="12F06217"/>
    <w:rsid w:val="12FA1CB0"/>
    <w:rsid w:val="13332D5F"/>
    <w:rsid w:val="134372E4"/>
    <w:rsid w:val="134A1994"/>
    <w:rsid w:val="136642BB"/>
    <w:rsid w:val="140F3546"/>
    <w:rsid w:val="142327B5"/>
    <w:rsid w:val="14484CDF"/>
    <w:rsid w:val="155E2CB3"/>
    <w:rsid w:val="156F1E09"/>
    <w:rsid w:val="157124FD"/>
    <w:rsid w:val="15B17054"/>
    <w:rsid w:val="16173655"/>
    <w:rsid w:val="16E85B46"/>
    <w:rsid w:val="174517D7"/>
    <w:rsid w:val="174D6D27"/>
    <w:rsid w:val="18413C16"/>
    <w:rsid w:val="18971E78"/>
    <w:rsid w:val="18C776B0"/>
    <w:rsid w:val="192D02CF"/>
    <w:rsid w:val="198A0A54"/>
    <w:rsid w:val="19DB6C33"/>
    <w:rsid w:val="1A3209E2"/>
    <w:rsid w:val="1A680A2A"/>
    <w:rsid w:val="1AB84DFF"/>
    <w:rsid w:val="1ABC528A"/>
    <w:rsid w:val="1BAF2172"/>
    <w:rsid w:val="1C6F6A7C"/>
    <w:rsid w:val="1C9212F7"/>
    <w:rsid w:val="1D1A78F5"/>
    <w:rsid w:val="1D9A07EC"/>
    <w:rsid w:val="1FE16FBA"/>
    <w:rsid w:val="200E1699"/>
    <w:rsid w:val="2096095A"/>
    <w:rsid w:val="20D86240"/>
    <w:rsid w:val="21CB6604"/>
    <w:rsid w:val="21CE0F2E"/>
    <w:rsid w:val="21DE5B7E"/>
    <w:rsid w:val="221D0BEA"/>
    <w:rsid w:val="22DD4281"/>
    <w:rsid w:val="23062699"/>
    <w:rsid w:val="23BF1035"/>
    <w:rsid w:val="2460080A"/>
    <w:rsid w:val="24C55E31"/>
    <w:rsid w:val="253620CC"/>
    <w:rsid w:val="25636DDB"/>
    <w:rsid w:val="25981EEB"/>
    <w:rsid w:val="25BF3D61"/>
    <w:rsid w:val="25F044FF"/>
    <w:rsid w:val="26902046"/>
    <w:rsid w:val="26A760E3"/>
    <w:rsid w:val="26C10A61"/>
    <w:rsid w:val="26CA1A3A"/>
    <w:rsid w:val="27680A3B"/>
    <w:rsid w:val="278A0CBD"/>
    <w:rsid w:val="27A96F19"/>
    <w:rsid w:val="27FC5F60"/>
    <w:rsid w:val="2834230D"/>
    <w:rsid w:val="287A18EA"/>
    <w:rsid w:val="28F16720"/>
    <w:rsid w:val="28F8723D"/>
    <w:rsid w:val="2A8D0D45"/>
    <w:rsid w:val="2AB648CF"/>
    <w:rsid w:val="2B01664D"/>
    <w:rsid w:val="2C7458A4"/>
    <w:rsid w:val="2D644059"/>
    <w:rsid w:val="2DBE0D65"/>
    <w:rsid w:val="2DDE6B1E"/>
    <w:rsid w:val="2E0F664D"/>
    <w:rsid w:val="2E1B43B4"/>
    <w:rsid w:val="2ED32E01"/>
    <w:rsid w:val="2F435B16"/>
    <w:rsid w:val="2FF20DF5"/>
    <w:rsid w:val="31230DCD"/>
    <w:rsid w:val="313E5963"/>
    <w:rsid w:val="318138A8"/>
    <w:rsid w:val="31F05688"/>
    <w:rsid w:val="320E2B0A"/>
    <w:rsid w:val="32252208"/>
    <w:rsid w:val="3242780E"/>
    <w:rsid w:val="324B0F32"/>
    <w:rsid w:val="32645497"/>
    <w:rsid w:val="330D4027"/>
    <w:rsid w:val="3330356C"/>
    <w:rsid w:val="33CF5811"/>
    <w:rsid w:val="34031BBE"/>
    <w:rsid w:val="349C60FB"/>
    <w:rsid w:val="34A76774"/>
    <w:rsid w:val="35095248"/>
    <w:rsid w:val="355560D1"/>
    <w:rsid w:val="358244C4"/>
    <w:rsid w:val="36084F32"/>
    <w:rsid w:val="36620060"/>
    <w:rsid w:val="36FD465C"/>
    <w:rsid w:val="374E7C24"/>
    <w:rsid w:val="37EB78B4"/>
    <w:rsid w:val="386D21AD"/>
    <w:rsid w:val="387E7233"/>
    <w:rsid w:val="38851898"/>
    <w:rsid w:val="388D0D28"/>
    <w:rsid w:val="39C71577"/>
    <w:rsid w:val="3A7915E5"/>
    <w:rsid w:val="3B1265AF"/>
    <w:rsid w:val="3B596812"/>
    <w:rsid w:val="3BA0652C"/>
    <w:rsid w:val="3C0014BA"/>
    <w:rsid w:val="3C372D12"/>
    <w:rsid w:val="3CA23060"/>
    <w:rsid w:val="3CAF6F9F"/>
    <w:rsid w:val="3CB21257"/>
    <w:rsid w:val="3CDF39C7"/>
    <w:rsid w:val="3D762392"/>
    <w:rsid w:val="3DA85E6B"/>
    <w:rsid w:val="3DFC6899"/>
    <w:rsid w:val="3E3675FB"/>
    <w:rsid w:val="3EEC1919"/>
    <w:rsid w:val="3F2F1CF1"/>
    <w:rsid w:val="3F800236"/>
    <w:rsid w:val="3F8C783C"/>
    <w:rsid w:val="40120BF0"/>
    <w:rsid w:val="40226A0B"/>
    <w:rsid w:val="40993700"/>
    <w:rsid w:val="40C1378F"/>
    <w:rsid w:val="40DC5AC3"/>
    <w:rsid w:val="40F66CF8"/>
    <w:rsid w:val="40FE47B4"/>
    <w:rsid w:val="41B857FD"/>
    <w:rsid w:val="4249193C"/>
    <w:rsid w:val="429465D8"/>
    <w:rsid w:val="431B4937"/>
    <w:rsid w:val="434336CE"/>
    <w:rsid w:val="43452348"/>
    <w:rsid w:val="4361706F"/>
    <w:rsid w:val="43CA1521"/>
    <w:rsid w:val="43D46F84"/>
    <w:rsid w:val="444B0E8A"/>
    <w:rsid w:val="45866A2B"/>
    <w:rsid w:val="464E4C2D"/>
    <w:rsid w:val="46D80A88"/>
    <w:rsid w:val="46EE0064"/>
    <w:rsid w:val="47793996"/>
    <w:rsid w:val="47A250A3"/>
    <w:rsid w:val="47F60C0C"/>
    <w:rsid w:val="48AC4D69"/>
    <w:rsid w:val="48B4096A"/>
    <w:rsid w:val="494B3B16"/>
    <w:rsid w:val="49C224BB"/>
    <w:rsid w:val="4A4F5FBC"/>
    <w:rsid w:val="4A732A37"/>
    <w:rsid w:val="4B2E2D61"/>
    <w:rsid w:val="4B8169C4"/>
    <w:rsid w:val="4CF238AF"/>
    <w:rsid w:val="4D7C1855"/>
    <w:rsid w:val="4DC87E21"/>
    <w:rsid w:val="4E4E7955"/>
    <w:rsid w:val="4E6A2FDF"/>
    <w:rsid w:val="4EDF3D2B"/>
    <w:rsid w:val="4EED79F5"/>
    <w:rsid w:val="505A0C64"/>
    <w:rsid w:val="507E548A"/>
    <w:rsid w:val="5080370D"/>
    <w:rsid w:val="512A1D93"/>
    <w:rsid w:val="5146198F"/>
    <w:rsid w:val="51B9608E"/>
    <w:rsid w:val="51F44E31"/>
    <w:rsid w:val="52350508"/>
    <w:rsid w:val="523F45D1"/>
    <w:rsid w:val="524F6E89"/>
    <w:rsid w:val="52695AB4"/>
    <w:rsid w:val="52820D2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94B0611"/>
    <w:rsid w:val="599F58E0"/>
    <w:rsid w:val="5A2B18C5"/>
    <w:rsid w:val="5AC1029A"/>
    <w:rsid w:val="5B353B99"/>
    <w:rsid w:val="5B6D42C1"/>
    <w:rsid w:val="5C223266"/>
    <w:rsid w:val="5D0B40ED"/>
    <w:rsid w:val="5D101449"/>
    <w:rsid w:val="5DB22BFD"/>
    <w:rsid w:val="5DD739B2"/>
    <w:rsid w:val="5E361890"/>
    <w:rsid w:val="5E900D37"/>
    <w:rsid w:val="5F5011B7"/>
    <w:rsid w:val="5F575403"/>
    <w:rsid w:val="5F88093C"/>
    <w:rsid w:val="5FDB251D"/>
    <w:rsid w:val="60492E1B"/>
    <w:rsid w:val="60FB7125"/>
    <w:rsid w:val="61152047"/>
    <w:rsid w:val="61BA4E90"/>
    <w:rsid w:val="620467BA"/>
    <w:rsid w:val="622759EC"/>
    <w:rsid w:val="622D2BEC"/>
    <w:rsid w:val="62F60DE0"/>
    <w:rsid w:val="63DD0DD3"/>
    <w:rsid w:val="640D2936"/>
    <w:rsid w:val="641F5EE8"/>
    <w:rsid w:val="649C0E8F"/>
    <w:rsid w:val="65152017"/>
    <w:rsid w:val="65532802"/>
    <w:rsid w:val="65850215"/>
    <w:rsid w:val="65BF6566"/>
    <w:rsid w:val="665D25F4"/>
    <w:rsid w:val="66E50FB1"/>
    <w:rsid w:val="674048E2"/>
    <w:rsid w:val="67B16815"/>
    <w:rsid w:val="67D71794"/>
    <w:rsid w:val="67DE6474"/>
    <w:rsid w:val="68426F20"/>
    <w:rsid w:val="68715924"/>
    <w:rsid w:val="690324F1"/>
    <w:rsid w:val="69C26BD7"/>
    <w:rsid w:val="6A403C00"/>
    <w:rsid w:val="6AFA1E66"/>
    <w:rsid w:val="6B4C7D1B"/>
    <w:rsid w:val="6BA11AAE"/>
    <w:rsid w:val="6C267EB4"/>
    <w:rsid w:val="6C634857"/>
    <w:rsid w:val="6CD653AF"/>
    <w:rsid w:val="6D1363D3"/>
    <w:rsid w:val="6D15429C"/>
    <w:rsid w:val="6D614426"/>
    <w:rsid w:val="6DA577A5"/>
    <w:rsid w:val="6DB8609B"/>
    <w:rsid w:val="6DB87D30"/>
    <w:rsid w:val="6E804287"/>
    <w:rsid w:val="6EB30283"/>
    <w:rsid w:val="6F605325"/>
    <w:rsid w:val="70817970"/>
    <w:rsid w:val="712B5699"/>
    <w:rsid w:val="71D76A8E"/>
    <w:rsid w:val="71DE60AD"/>
    <w:rsid w:val="72A30A90"/>
    <w:rsid w:val="72AE5309"/>
    <w:rsid w:val="72C042BE"/>
    <w:rsid w:val="73014D0C"/>
    <w:rsid w:val="735A6A5C"/>
    <w:rsid w:val="73AF3C73"/>
    <w:rsid w:val="74616A28"/>
    <w:rsid w:val="746D1278"/>
    <w:rsid w:val="7505608B"/>
    <w:rsid w:val="762C29D0"/>
    <w:rsid w:val="76635F01"/>
    <w:rsid w:val="76975133"/>
    <w:rsid w:val="769B60FD"/>
    <w:rsid w:val="76C10F77"/>
    <w:rsid w:val="777379E1"/>
    <w:rsid w:val="77D8678E"/>
    <w:rsid w:val="77E21F3F"/>
    <w:rsid w:val="78061DFD"/>
    <w:rsid w:val="7814798C"/>
    <w:rsid w:val="7819740D"/>
    <w:rsid w:val="781E454A"/>
    <w:rsid w:val="789F59B2"/>
    <w:rsid w:val="78E10B53"/>
    <w:rsid w:val="78ED2B64"/>
    <w:rsid w:val="7A224A32"/>
    <w:rsid w:val="7A4B0114"/>
    <w:rsid w:val="7A6D55E9"/>
    <w:rsid w:val="7ABD49CD"/>
    <w:rsid w:val="7BA85469"/>
    <w:rsid w:val="7C0E15E2"/>
    <w:rsid w:val="7C28250F"/>
    <w:rsid w:val="7C8178AE"/>
    <w:rsid w:val="7CF61BD0"/>
    <w:rsid w:val="7CFB06AD"/>
    <w:rsid w:val="7D0E2676"/>
    <w:rsid w:val="7DAE41EC"/>
    <w:rsid w:val="7E0776A9"/>
    <w:rsid w:val="7E2E05BA"/>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9"/>
    <w:autoRedefine/>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30"/>
    <w:autoRedefine/>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31"/>
    <w:autoRedefine/>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32"/>
    <w:autoRedefine/>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3"/>
    <w:autoRedefine/>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4"/>
    <w:autoRedefine/>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5"/>
    <w:autoRedefine/>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6"/>
    <w:autoRedefine/>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autoRedefine/>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9"/>
    <w:autoRedefine/>
    <w:unhideWhenUsed/>
    <w:qFormat/>
    <w:uiPriority w:val="99"/>
    <w:pPr>
      <w:spacing w:before="100" w:beforeAutospacing="1" w:after="120"/>
      <w:ind w:left="200" w:leftChars="200"/>
    </w:pPr>
    <w:rPr>
      <w:szCs w:val="21"/>
    </w:rPr>
  </w:style>
  <w:style w:type="paragraph" w:styleId="11">
    <w:name w:val="Plain Text"/>
    <w:basedOn w:val="1"/>
    <w:link w:val="26"/>
    <w:autoRedefine/>
    <w:unhideWhenUsed/>
    <w:qFormat/>
    <w:uiPriority w:val="99"/>
    <w:rPr>
      <w:rFonts w:ascii="宋体" w:hAnsi="Courier New" w:cs="Courier New"/>
      <w:szCs w:val="21"/>
    </w:rPr>
  </w:style>
  <w:style w:type="paragraph" w:styleId="12">
    <w:name w:val="Balloon Text"/>
    <w:basedOn w:val="1"/>
    <w:link w:val="37"/>
    <w:autoRedefine/>
    <w:semiHidden/>
    <w:unhideWhenUsed/>
    <w:qFormat/>
    <w:uiPriority w:val="99"/>
    <w:rPr>
      <w:rFonts w:asciiTheme="minorHAnsi" w:hAnsiTheme="minorHAnsi" w:eastAsiaTheme="minorEastAsia" w:cstheme="minorBidi"/>
      <w:sz w:val="18"/>
      <w:szCs w:val="18"/>
    </w:rPr>
  </w:style>
  <w:style w:type="paragraph" w:styleId="13">
    <w:name w:val="footer"/>
    <w:basedOn w:val="1"/>
    <w:link w:val="41"/>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7"/>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autoRedefine/>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autoRedefine/>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40"/>
    <w:qFormat/>
    <w:uiPriority w:val="10"/>
    <w:pPr>
      <w:spacing w:before="240" w:after="60"/>
      <w:jc w:val="center"/>
      <w:outlineLvl w:val="0"/>
    </w:pPr>
    <w:rPr>
      <w:rFonts w:ascii="Cambria" w:hAnsi="Cambria"/>
      <w:b/>
      <w:sz w:val="32"/>
      <w:szCs w:val="32"/>
    </w:rPr>
  </w:style>
  <w:style w:type="table" w:styleId="19">
    <w:name w:val="Table Grid"/>
    <w:basedOn w:val="18"/>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22"/>
    <w:rPr>
      <w:b/>
    </w:rPr>
  </w:style>
  <w:style w:type="character" w:styleId="22">
    <w:name w:val="FollowedHyperlink"/>
    <w:basedOn w:val="20"/>
    <w:autoRedefine/>
    <w:semiHidden/>
    <w:unhideWhenUsed/>
    <w:qFormat/>
    <w:uiPriority w:val="99"/>
    <w:rPr>
      <w:color w:val="000000"/>
      <w:u w:val="none"/>
    </w:rPr>
  </w:style>
  <w:style w:type="character" w:styleId="23">
    <w:name w:val="Hyperlink"/>
    <w:basedOn w:val="20"/>
    <w:autoRedefine/>
    <w:semiHidden/>
    <w:unhideWhenUsed/>
    <w:qFormat/>
    <w:uiPriority w:val="99"/>
    <w:rPr>
      <w:color w:val="000000"/>
      <w:u w:val="none"/>
    </w:rPr>
  </w:style>
  <w:style w:type="character" w:styleId="24">
    <w:name w:val="HTML Code"/>
    <w:basedOn w:val="20"/>
    <w:autoRedefine/>
    <w:semiHidden/>
    <w:unhideWhenUsed/>
    <w:qFormat/>
    <w:uiPriority w:val="99"/>
    <w:rPr>
      <w:rFonts w:ascii="Courier New" w:hAnsi="Courier New"/>
      <w:sz w:val="20"/>
    </w:rPr>
  </w:style>
  <w:style w:type="character" w:styleId="25">
    <w:name w:val="footnote reference"/>
    <w:basedOn w:val="20"/>
    <w:autoRedefine/>
    <w:semiHidden/>
    <w:unhideWhenUsed/>
    <w:qFormat/>
    <w:uiPriority w:val="99"/>
    <w:rPr>
      <w:vertAlign w:val="superscript"/>
    </w:rPr>
  </w:style>
  <w:style w:type="character" w:customStyle="1" w:styleId="26">
    <w:name w:val="纯文本 Char"/>
    <w:basedOn w:val="20"/>
    <w:link w:val="11"/>
    <w:autoRedefine/>
    <w:qFormat/>
    <w:uiPriority w:val="99"/>
    <w:rPr>
      <w:rFonts w:ascii="宋体" w:hAnsi="Courier New" w:eastAsia="宋体" w:cs="Courier New"/>
      <w:szCs w:val="21"/>
    </w:rPr>
  </w:style>
  <w:style w:type="character" w:customStyle="1" w:styleId="27">
    <w:name w:val="页眉 Char"/>
    <w:basedOn w:val="20"/>
    <w:link w:val="14"/>
    <w:qFormat/>
    <w:uiPriority w:val="99"/>
    <w:rPr>
      <w:sz w:val="18"/>
      <w:szCs w:val="18"/>
    </w:rPr>
  </w:style>
  <w:style w:type="character" w:customStyle="1" w:styleId="28">
    <w:name w:val="页脚 Char"/>
    <w:basedOn w:val="20"/>
    <w:link w:val="13"/>
    <w:qFormat/>
    <w:uiPriority w:val="99"/>
    <w:rPr>
      <w:sz w:val="18"/>
      <w:szCs w:val="18"/>
    </w:rPr>
  </w:style>
  <w:style w:type="character" w:customStyle="1" w:styleId="29">
    <w:name w:val="标题 1 Char"/>
    <w:basedOn w:val="20"/>
    <w:link w:val="2"/>
    <w:qFormat/>
    <w:uiPriority w:val="9"/>
    <w:rPr>
      <w:rFonts w:eastAsia="黑体" w:asciiTheme="minorHAnsi" w:hAnsiTheme="minorHAnsi"/>
      <w:bCs/>
      <w:kern w:val="44"/>
      <w:sz w:val="32"/>
      <w:szCs w:val="44"/>
    </w:rPr>
  </w:style>
  <w:style w:type="character" w:customStyle="1" w:styleId="30">
    <w:name w:val="标题 2 Char"/>
    <w:basedOn w:val="20"/>
    <w:link w:val="3"/>
    <w:semiHidden/>
    <w:qFormat/>
    <w:uiPriority w:val="9"/>
    <w:rPr>
      <w:rFonts w:eastAsia="方正黑体_GBK" w:asciiTheme="majorHAnsi" w:hAnsiTheme="majorHAnsi" w:cstheme="majorBidi"/>
      <w:bCs/>
      <w:sz w:val="32"/>
      <w:szCs w:val="32"/>
    </w:rPr>
  </w:style>
  <w:style w:type="character" w:customStyle="1" w:styleId="31">
    <w:name w:val="标题 3 Char"/>
    <w:basedOn w:val="20"/>
    <w:link w:val="4"/>
    <w:autoRedefine/>
    <w:semiHidden/>
    <w:qFormat/>
    <w:uiPriority w:val="9"/>
    <w:rPr>
      <w:rFonts w:eastAsia="方正楷体_GBK" w:asciiTheme="minorHAnsi" w:hAnsiTheme="minorHAnsi"/>
      <w:b/>
      <w:bCs/>
      <w:sz w:val="32"/>
      <w:szCs w:val="32"/>
    </w:rPr>
  </w:style>
  <w:style w:type="character" w:customStyle="1" w:styleId="32">
    <w:name w:val="标题 4 Char"/>
    <w:basedOn w:val="20"/>
    <w:link w:val="5"/>
    <w:autoRedefine/>
    <w:semiHidden/>
    <w:qFormat/>
    <w:uiPriority w:val="9"/>
    <w:rPr>
      <w:rFonts w:asciiTheme="majorHAnsi" w:hAnsiTheme="majorHAnsi" w:eastAsiaTheme="majorEastAsia" w:cstheme="majorBidi"/>
      <w:b/>
      <w:bCs/>
      <w:sz w:val="28"/>
      <w:szCs w:val="28"/>
    </w:rPr>
  </w:style>
  <w:style w:type="character" w:customStyle="1" w:styleId="33">
    <w:name w:val="标题 5 Char"/>
    <w:basedOn w:val="20"/>
    <w:link w:val="6"/>
    <w:autoRedefine/>
    <w:semiHidden/>
    <w:qFormat/>
    <w:uiPriority w:val="9"/>
    <w:rPr>
      <w:b/>
      <w:bCs/>
      <w:sz w:val="28"/>
      <w:szCs w:val="28"/>
    </w:rPr>
  </w:style>
  <w:style w:type="character" w:customStyle="1" w:styleId="34">
    <w:name w:val="标题 6 Char"/>
    <w:basedOn w:val="20"/>
    <w:link w:val="7"/>
    <w:autoRedefine/>
    <w:semiHidden/>
    <w:qFormat/>
    <w:uiPriority w:val="9"/>
    <w:rPr>
      <w:rFonts w:asciiTheme="majorHAnsi" w:hAnsiTheme="majorHAnsi" w:eastAsiaTheme="majorEastAsia" w:cstheme="majorBidi"/>
      <w:b/>
      <w:bCs/>
      <w:sz w:val="24"/>
      <w:szCs w:val="24"/>
    </w:rPr>
  </w:style>
  <w:style w:type="character" w:customStyle="1" w:styleId="35">
    <w:name w:val="标题 7 Char"/>
    <w:basedOn w:val="20"/>
    <w:link w:val="8"/>
    <w:autoRedefine/>
    <w:semiHidden/>
    <w:qFormat/>
    <w:uiPriority w:val="9"/>
    <w:rPr>
      <w:b/>
      <w:bCs/>
      <w:sz w:val="24"/>
      <w:szCs w:val="24"/>
    </w:rPr>
  </w:style>
  <w:style w:type="character" w:customStyle="1" w:styleId="36">
    <w:name w:val="标题 8 Char"/>
    <w:basedOn w:val="20"/>
    <w:link w:val="9"/>
    <w:autoRedefine/>
    <w:semiHidden/>
    <w:qFormat/>
    <w:uiPriority w:val="9"/>
    <w:rPr>
      <w:rFonts w:asciiTheme="majorHAnsi" w:hAnsiTheme="majorHAnsi" w:eastAsiaTheme="majorEastAsia" w:cstheme="majorBidi"/>
      <w:sz w:val="24"/>
      <w:szCs w:val="24"/>
    </w:rPr>
  </w:style>
  <w:style w:type="character" w:customStyle="1" w:styleId="37">
    <w:name w:val="批注框文本 Char"/>
    <w:basedOn w:val="20"/>
    <w:link w:val="12"/>
    <w:autoRedefine/>
    <w:semiHidden/>
    <w:qFormat/>
    <w:uiPriority w:val="99"/>
    <w:rPr>
      <w:kern w:val="2"/>
      <w:sz w:val="18"/>
      <w:szCs w:val="18"/>
    </w:rPr>
  </w:style>
  <w:style w:type="character" w:customStyle="1" w:styleId="38">
    <w:name w:val="15"/>
    <w:basedOn w:val="20"/>
    <w:autoRedefine/>
    <w:qFormat/>
    <w:uiPriority w:val="0"/>
    <w:rPr>
      <w:rFonts w:hint="default" w:ascii="Times New Roman" w:hAnsi="Times New Roman" w:cs="Times New Roman"/>
      <w:b/>
      <w:bCs/>
    </w:rPr>
  </w:style>
  <w:style w:type="character" w:customStyle="1" w:styleId="39">
    <w:name w:val="正文文本缩进 Char"/>
    <w:basedOn w:val="20"/>
    <w:link w:val="10"/>
    <w:autoRedefine/>
    <w:qFormat/>
    <w:uiPriority w:val="99"/>
    <w:rPr>
      <w:rFonts w:ascii="Times New Roman" w:hAnsi="Times New Roman" w:eastAsia="宋体" w:cs="Times New Roman"/>
      <w:kern w:val="2"/>
      <w:sz w:val="21"/>
      <w:szCs w:val="21"/>
    </w:rPr>
  </w:style>
  <w:style w:type="character" w:customStyle="1" w:styleId="40">
    <w:name w:val="标题 Char"/>
    <w:basedOn w:val="20"/>
    <w:link w:val="17"/>
    <w:autoRedefine/>
    <w:qFormat/>
    <w:uiPriority w:val="0"/>
    <w:rPr>
      <w:rFonts w:hint="default" w:ascii="Cambria" w:hAnsi="Cambria" w:eastAsia="宋体" w:cs="Cambria"/>
      <w:b/>
      <w:kern w:val="2"/>
      <w:sz w:val="32"/>
      <w:szCs w:val="32"/>
    </w:rPr>
  </w:style>
  <w:style w:type="character" w:customStyle="1" w:styleId="41">
    <w:name w:val="页脚 Char1"/>
    <w:basedOn w:val="20"/>
    <w:link w:val="13"/>
    <w:autoRedefine/>
    <w:qFormat/>
    <w:uiPriority w:val="0"/>
    <w:rPr>
      <w:rFonts w:hint="default" w:ascii="Times New Roman" w:hAnsi="Times New Roman" w:eastAsia="宋体" w:cs="Times New Roman"/>
      <w:kern w:val="2"/>
      <w:sz w:val="18"/>
      <w:szCs w:val="18"/>
    </w:rPr>
  </w:style>
  <w:style w:type="character" w:customStyle="1" w:styleId="42">
    <w:name w:val="tabg"/>
    <w:basedOn w:val="20"/>
    <w:autoRedefine/>
    <w:qFormat/>
    <w:uiPriority w:val="0"/>
    <w:rPr>
      <w:color w:val="FFFFFF"/>
      <w:sz w:val="27"/>
      <w:szCs w:val="27"/>
    </w:rPr>
  </w:style>
  <w:style w:type="character" w:customStyle="1" w:styleId="43">
    <w:name w:val="font"/>
    <w:basedOn w:val="20"/>
    <w:autoRedefine/>
    <w:qFormat/>
    <w:uiPriority w:val="0"/>
  </w:style>
  <w:style w:type="character" w:customStyle="1" w:styleId="44">
    <w:name w:val="font1"/>
    <w:basedOn w:val="20"/>
    <w:autoRedefine/>
    <w:qFormat/>
    <w:uiPriority w:val="0"/>
  </w:style>
  <w:style w:type="character" w:customStyle="1" w:styleId="45">
    <w:name w:val="bg01"/>
    <w:basedOn w:val="20"/>
    <w:autoRedefine/>
    <w:qFormat/>
    <w:uiPriority w:val="0"/>
  </w:style>
  <w:style w:type="character" w:customStyle="1" w:styleId="46">
    <w:name w:val="m01"/>
    <w:basedOn w:val="20"/>
    <w:autoRedefine/>
    <w:qFormat/>
    <w:uiPriority w:val="0"/>
  </w:style>
  <w:style w:type="character" w:customStyle="1" w:styleId="47">
    <w:name w:val="m011"/>
    <w:basedOn w:val="20"/>
    <w:autoRedefine/>
    <w:qFormat/>
    <w:uiPriority w:val="0"/>
  </w:style>
  <w:style w:type="character" w:customStyle="1" w:styleId="48">
    <w:name w:val="name"/>
    <w:basedOn w:val="20"/>
    <w:autoRedefine/>
    <w:qFormat/>
    <w:uiPriority w:val="0"/>
    <w:rPr>
      <w:color w:val="6A6A6A"/>
      <w:u w:val="single"/>
    </w:rPr>
  </w:style>
  <w:style w:type="character" w:customStyle="1" w:styleId="49">
    <w:name w:val="dates"/>
    <w:basedOn w:val="20"/>
    <w:autoRedefine/>
    <w:qFormat/>
    <w:uiPriority w:val="0"/>
  </w:style>
  <w:style w:type="character" w:customStyle="1" w:styleId="50">
    <w:name w:val="bg02"/>
    <w:basedOn w:val="20"/>
    <w:autoRedefine/>
    <w:qFormat/>
    <w:uiPriority w:val="0"/>
  </w:style>
  <w:style w:type="character" w:customStyle="1" w:styleId="51">
    <w:name w:val="more4"/>
    <w:basedOn w:val="20"/>
    <w:autoRedefine/>
    <w:qFormat/>
    <w:uiPriority w:val="0"/>
    <w:rPr>
      <w:color w:val="666666"/>
      <w:sz w:val="18"/>
      <w:szCs w:val="18"/>
    </w:rPr>
  </w:style>
  <w:style w:type="character" w:customStyle="1" w:styleId="52">
    <w:name w:val="laypage_curr"/>
    <w:basedOn w:val="20"/>
    <w:autoRedefine/>
    <w:qFormat/>
    <w:uiPriority w:val="0"/>
    <w:rPr>
      <w:color w:val="FFFDF4"/>
      <w:shd w:val="clear" w:fill="0B67A6"/>
    </w:rPr>
  </w:style>
  <w:style w:type="character" w:customStyle="1" w:styleId="53">
    <w:name w:val="hover15"/>
    <w:basedOn w:val="20"/>
    <w:autoRedefine/>
    <w:qFormat/>
    <w:uiPriority w:val="0"/>
    <w:rPr>
      <w:color w:val="015293"/>
    </w:rPr>
  </w:style>
  <w:style w:type="character" w:customStyle="1" w:styleId="54">
    <w:name w:val="hover19"/>
    <w:basedOn w:val="20"/>
    <w:autoRedefine/>
    <w:qFormat/>
    <w:uiPriority w:val="0"/>
    <w:rPr>
      <w:color w:val="015293"/>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4780</Words>
  <Characters>4801</Characters>
  <Lines>69</Lines>
  <Paragraphs>19</Paragraphs>
  <TotalTime>1</TotalTime>
  <ScaleCrop>false</ScaleCrop>
  <LinksUpToDate>false</LinksUpToDate>
  <CharactersWithSpaces>4837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2026-06-30T14:48:31Z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AAC7F7B6F5494A41BADB80700CA67999</vt:lpwstr>
  </property>
  <property fmtid="{D5CDD505-2E9C-101B-9397-08002B2CF9AE}" pid="4" name="KSOTemplateDocerSaveRecord">
    <vt:lpwstr>eyJoZGlkIjoiOTk2NmVkYjNiZGQzMjI3MDg4NzEwNTdjZDg4NjI3NjYiLCJ1c2VySWQiOiI3MDY4OTMwMTcifQ==</vt:lpwstr>
  </property>
</Properties>
</file>