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57A71239">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社会团体登记管理条例</w:t>
      </w:r>
    </w:p>
    <w:p w14:paraId="1CCA9C9F">
      <w:pPr>
        <w:widowControl/>
        <w:spacing w:line="500" w:lineRule="exact"/>
        <w:jc w:val="center"/>
        <w:rPr>
          <w:rFonts w:ascii="宋体" w:hAnsi="宋体" w:cs="宋体"/>
          <w:color w:val="333333"/>
          <w:sz w:val="44"/>
          <w:szCs w:val="44"/>
          <w:shd w:val="clear" w:color="auto" w:fill="FFFFFF"/>
        </w:rPr>
      </w:pPr>
    </w:p>
    <w:p w14:paraId="025B392B">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(1998年10月25日中华人民共和国国务院令第250号发布　根据2016年2月6日《国务院关于修改部分行政法规的决定》第一次修订　根据2026年3月12日《国务院关于修改〈社会团体登记管理条例〉的决定》第二次修订)</w:t>
      </w:r>
    </w:p>
    <w:p w14:paraId="329C34F9">
      <w:pPr>
        <w:pStyle w:val="3"/>
        <w:bidi w:val="0"/>
        <w:rPr>
          <w:sz w:val="32"/>
          <w:szCs w:val="32"/>
        </w:rPr>
      </w:pPr>
      <w:r>
        <w:rPr>
          <w:sz w:val="32"/>
          <w:szCs w:val="32"/>
        </w:rPr>
        <w:t>第一章　总　　则</w:t>
      </w:r>
    </w:p>
    <w:p w14:paraId="29ABDED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为了保障公民的结社自由，维护社会团体的合法权益，加强对社会团体的登记管理，促进社会主义物质文明、精神文明建设，制定本条例。</w:t>
      </w:r>
    </w:p>
    <w:p w14:paraId="0A1C7BE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本条例所称社会团体，是指中国公民自愿组成，为实现会员共同意愿，按照其章程开展活动的非营利性社会组织。</w:t>
      </w:r>
    </w:p>
    <w:p w14:paraId="1972D67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国家机关以外的组织可以作为单位会员加入社会团体。</w:t>
      </w:r>
    </w:p>
    <w:p w14:paraId="7057B2F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成立社会团体，应当经其业务主管单位审查同意，并依照本条例的规定进行登记。</w:t>
      </w:r>
    </w:p>
    <w:p w14:paraId="5F17795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社会团体应当具备法人条件。</w:t>
      </w:r>
    </w:p>
    <w:p w14:paraId="52E3C8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下列团体不属于本条例规定登记的范围：</w:t>
      </w:r>
    </w:p>
    <w:p w14:paraId="3FEFDBC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(一)参加中国人民政治协商会议的人民团体；</w:t>
      </w:r>
    </w:p>
    <w:p w14:paraId="384AC28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(二)由国务院机构编制管理机关核定，并经国务院批准免于登记的团体；</w:t>
      </w:r>
    </w:p>
    <w:p w14:paraId="46F5BB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(三)机关、团体、企业事业单位内部经本单位批准成立、在本单位内部活动的团体。</w:t>
      </w:r>
    </w:p>
    <w:p w14:paraId="6270E9A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社会团体必须遵守宪法、法律、法规和国家政策，不得反对宪法确定的基本原则，不得危害国家的统一、安全和民族的团结，不得损害国家利益、社会公共利益以及其他组织和公民的合法权益，不得违背社会道德风尚。</w:t>
      </w:r>
    </w:p>
    <w:p w14:paraId="5B7DB47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社会团体不得从事营利性经营活动。</w:t>
      </w:r>
    </w:p>
    <w:p w14:paraId="7DFD5A7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国家保护社会团体依照法律、法规及其章程开展活动，任何组织和个人不得非法干涉。</w:t>
      </w:r>
    </w:p>
    <w:p w14:paraId="6B6CF72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国务院民政部门和县级以上地方各级人民政府民政部门是本级人民政府的社会团体登记管理机关(以下简称登记管理机关)。</w:t>
      </w:r>
    </w:p>
    <w:p w14:paraId="2214710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国务院有关部门和县级以上地方各级人民政府有关部门、国务院或者县级以上地方各级人民政府授权的组织，是有关行业、学科或者业务范围内社会团体的业务主管单位(以下简称业务主管单位)。</w:t>
      </w:r>
    </w:p>
    <w:p w14:paraId="4C652B4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法律、行政法规对社会团体的监督管理另有规定的，依照有关法律、行政法规的规定执行。</w:t>
      </w:r>
    </w:p>
    <w:p w14:paraId="10C70997">
      <w:pPr>
        <w:pStyle w:val="3"/>
        <w:bidi w:val="0"/>
        <w:rPr>
          <w:sz w:val="32"/>
          <w:szCs w:val="32"/>
        </w:rPr>
      </w:pPr>
      <w:r>
        <w:rPr>
          <w:sz w:val="32"/>
          <w:szCs w:val="32"/>
        </w:rPr>
        <w:t>第二章　管　　辖</w:t>
      </w:r>
    </w:p>
    <w:p w14:paraId="55391F0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全国性的社会团体，由国务院的登记管理机关负责登记管理；地方性的社会团体，由所在地人民政府的登记管理机关负责登记管理；跨行政区域的社会团体，由所跨行政区域的共同上一级人民政府的登记管理机关负责登记管理。</w:t>
      </w:r>
    </w:p>
    <w:p w14:paraId="65E35F5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登记管理机关、业务主管单位与其管辖的社会团体的住所不在一地的，可以委托社会团体住所地的登记管理机关、业务主管单位负责委托范围内的监督管理工作。</w:t>
      </w:r>
    </w:p>
    <w:p w14:paraId="1F9F6663">
      <w:pPr>
        <w:pStyle w:val="3"/>
        <w:rPr>
          <w:sz w:val="32"/>
          <w:szCs w:val="32"/>
        </w:rPr>
      </w:pPr>
      <w:r>
        <w:rPr>
          <w:rFonts w:ascii="Times New Roman" w:hAnsi="Times New Roman" w:cs="Times New Roman"/>
          <w:sz w:val="32"/>
          <w:szCs w:val="32"/>
        </w:rPr>
        <w:t>第三章　成 立 登 记</w:t>
      </w:r>
    </w:p>
    <w:p w14:paraId="413E819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申请成立社会团体，应当经其业务主管单位审查同意，由发起人向登记管理机关申请登记。</w:t>
      </w:r>
    </w:p>
    <w:p w14:paraId="3A65B18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筹备期间不得开展筹备以外的活动。</w:t>
      </w:r>
    </w:p>
    <w:p w14:paraId="1642DA4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成立社会团体，应当具备下列条件：</w:t>
      </w:r>
    </w:p>
    <w:p w14:paraId="2A0D407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(一)有50个以上的个人会员或者30个以上的单位会员；个人会员、单位会员混合组成的，会员总数不得少于50个；</w:t>
      </w:r>
    </w:p>
    <w:p w14:paraId="30209D1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(二)有规范的名称和相应的组织机构；</w:t>
      </w:r>
    </w:p>
    <w:p w14:paraId="2F35D0F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(三)有固定的住所；</w:t>
      </w:r>
    </w:p>
    <w:p w14:paraId="132B38F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(四)有与其业务活动相适应的专职工作人员；</w:t>
      </w:r>
    </w:p>
    <w:p w14:paraId="1312CCB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(五)有合法的资产和经费来源，全国性的社会团体有10万元以上活动资金，地方性的社会团体和跨行政区域的社会团体有3万元以上活动资金；</w:t>
      </w:r>
    </w:p>
    <w:p w14:paraId="0FDD87A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(六)有独立承担民事责任的能力。</w:t>
      </w:r>
    </w:p>
    <w:p w14:paraId="310E7C6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社会团体的名称应当符合法律、法规的规定，不得违背社会道德风尚。社会团体的名称应当与其业务范围、成员分布、活动地域相一致，准确反映其特征。全国性的社会团体的名称冠以</w:t>
      </w:r>
      <w:r>
        <w:rPr>
          <w:rFonts w:hAnsi="宋体" w:cs="Times New Roman"/>
          <w:sz w:val="32"/>
          <w:szCs w:val="32"/>
        </w:rPr>
        <w:t>“</w:t>
      </w:r>
      <w:r>
        <w:rPr>
          <w:rFonts w:hint="eastAsia" w:ascii="仿宋_GB2312" w:hAnsi="仿宋_GB2312" w:eastAsia="仿宋_GB2312" w:cs="仿宋_GB2312"/>
          <w:sz w:val="32"/>
          <w:szCs w:val="32"/>
        </w:rPr>
        <w:t>中国</w:t>
      </w:r>
      <w:r>
        <w:rPr>
          <w:rFonts w:hAnsi="宋体" w:cs="Times New Roman"/>
          <w:sz w:val="32"/>
          <w:szCs w:val="32"/>
        </w:rPr>
        <w:t>”</w:t>
      </w:r>
      <w:r>
        <w:rPr>
          <w:rFonts w:hint="eastAsia" w:ascii="仿宋_GB2312" w:hAnsi="仿宋_GB2312" w:eastAsia="仿宋_GB2312" w:cs="仿宋_GB2312"/>
          <w:sz w:val="32"/>
          <w:szCs w:val="32"/>
        </w:rPr>
        <w:t>、</w:t>
      </w:r>
      <w:r>
        <w:rPr>
          <w:rFonts w:hAnsi="宋体" w:cs="Times New Roman"/>
          <w:sz w:val="32"/>
          <w:szCs w:val="32"/>
        </w:rPr>
        <w:t>“</w:t>
      </w:r>
      <w:r>
        <w:rPr>
          <w:rFonts w:hint="eastAsia" w:ascii="仿宋_GB2312" w:hAnsi="仿宋_GB2312" w:eastAsia="仿宋_GB2312" w:cs="仿宋_GB2312"/>
          <w:sz w:val="32"/>
          <w:szCs w:val="32"/>
        </w:rPr>
        <w:t>全国</w:t>
      </w:r>
      <w:r>
        <w:rPr>
          <w:rFonts w:hAnsi="宋体" w:cs="Times New Roman"/>
          <w:sz w:val="32"/>
          <w:szCs w:val="32"/>
        </w:rPr>
        <w:t>”</w:t>
      </w:r>
      <w:r>
        <w:rPr>
          <w:rFonts w:hint="eastAsia" w:ascii="仿宋_GB2312" w:hAnsi="仿宋_GB2312" w:eastAsia="仿宋_GB2312" w:cs="仿宋_GB2312"/>
          <w:sz w:val="32"/>
          <w:szCs w:val="32"/>
        </w:rPr>
        <w:t>、</w:t>
      </w:r>
      <w:r>
        <w:rPr>
          <w:rFonts w:hAnsi="宋体" w:cs="Times New Roman"/>
          <w:sz w:val="32"/>
          <w:szCs w:val="32"/>
        </w:rPr>
        <w:t>“</w:t>
      </w:r>
      <w:r>
        <w:rPr>
          <w:rFonts w:hint="eastAsia" w:ascii="仿宋_GB2312" w:hAnsi="仿宋_GB2312" w:eastAsia="仿宋_GB2312" w:cs="仿宋_GB2312"/>
          <w:sz w:val="32"/>
          <w:szCs w:val="32"/>
        </w:rPr>
        <w:t>中华</w:t>
      </w:r>
      <w:r>
        <w:rPr>
          <w:rFonts w:hAnsi="宋体" w:cs="Times New Roman"/>
          <w:sz w:val="32"/>
          <w:szCs w:val="32"/>
        </w:rPr>
        <w:t>”</w:t>
      </w:r>
      <w:r>
        <w:rPr>
          <w:rFonts w:hint="eastAsia" w:ascii="仿宋_GB2312" w:hAnsi="仿宋_GB2312" w:eastAsia="仿宋_GB2312" w:cs="仿宋_GB2312"/>
          <w:sz w:val="32"/>
          <w:szCs w:val="32"/>
        </w:rPr>
        <w:t>等字样的，应当按照国家有关规定经过批准，地方性的社会团体的名称不得冠以</w:t>
      </w:r>
      <w:r>
        <w:rPr>
          <w:rFonts w:hAnsi="宋体" w:cs="Times New Roman"/>
          <w:sz w:val="32"/>
          <w:szCs w:val="32"/>
        </w:rPr>
        <w:t>“</w:t>
      </w:r>
      <w:r>
        <w:rPr>
          <w:rFonts w:hint="eastAsia" w:ascii="仿宋_GB2312" w:hAnsi="仿宋_GB2312" w:eastAsia="仿宋_GB2312" w:cs="仿宋_GB2312"/>
          <w:sz w:val="32"/>
          <w:szCs w:val="32"/>
        </w:rPr>
        <w:t>中国</w:t>
      </w:r>
      <w:r>
        <w:rPr>
          <w:rFonts w:hAnsi="宋体" w:cs="Times New Roman"/>
          <w:sz w:val="32"/>
          <w:szCs w:val="32"/>
        </w:rPr>
        <w:t>”</w:t>
      </w:r>
      <w:r>
        <w:rPr>
          <w:rFonts w:hint="eastAsia" w:ascii="仿宋_GB2312" w:hAnsi="仿宋_GB2312" w:eastAsia="仿宋_GB2312" w:cs="仿宋_GB2312"/>
          <w:sz w:val="32"/>
          <w:szCs w:val="32"/>
        </w:rPr>
        <w:t>、</w:t>
      </w:r>
      <w:r>
        <w:rPr>
          <w:rFonts w:hAnsi="宋体" w:cs="Times New Roman"/>
          <w:sz w:val="32"/>
          <w:szCs w:val="32"/>
        </w:rPr>
        <w:t>“</w:t>
      </w:r>
      <w:r>
        <w:rPr>
          <w:rFonts w:hint="eastAsia" w:ascii="仿宋_GB2312" w:hAnsi="仿宋_GB2312" w:eastAsia="仿宋_GB2312" w:cs="仿宋_GB2312"/>
          <w:sz w:val="32"/>
          <w:szCs w:val="32"/>
        </w:rPr>
        <w:t>全国</w:t>
      </w:r>
      <w:r>
        <w:rPr>
          <w:rFonts w:hAnsi="宋体" w:cs="Times New Roman"/>
          <w:sz w:val="32"/>
          <w:szCs w:val="32"/>
        </w:rPr>
        <w:t>”</w:t>
      </w:r>
      <w:r>
        <w:rPr>
          <w:rFonts w:hint="eastAsia" w:ascii="仿宋_GB2312" w:hAnsi="仿宋_GB2312" w:eastAsia="仿宋_GB2312" w:cs="仿宋_GB2312"/>
          <w:sz w:val="32"/>
          <w:szCs w:val="32"/>
        </w:rPr>
        <w:t>、</w:t>
      </w:r>
      <w:r>
        <w:rPr>
          <w:rFonts w:hAnsi="宋体" w:cs="Times New Roman"/>
          <w:sz w:val="32"/>
          <w:szCs w:val="32"/>
        </w:rPr>
        <w:t>“</w:t>
      </w:r>
      <w:r>
        <w:rPr>
          <w:rFonts w:hint="eastAsia" w:ascii="仿宋_GB2312" w:hAnsi="仿宋_GB2312" w:eastAsia="仿宋_GB2312" w:cs="仿宋_GB2312"/>
          <w:sz w:val="32"/>
          <w:szCs w:val="32"/>
        </w:rPr>
        <w:t>中华</w:t>
      </w:r>
      <w:r>
        <w:rPr>
          <w:rFonts w:hAnsi="宋体" w:cs="Times New Roman"/>
          <w:sz w:val="32"/>
          <w:szCs w:val="32"/>
        </w:rPr>
        <w:t>”</w:t>
      </w:r>
      <w:r>
        <w:rPr>
          <w:rFonts w:hint="eastAsia" w:ascii="仿宋_GB2312" w:hAnsi="仿宋_GB2312" w:eastAsia="仿宋_GB2312" w:cs="仿宋_GB2312"/>
          <w:sz w:val="32"/>
          <w:szCs w:val="32"/>
        </w:rPr>
        <w:t>等字样。</w:t>
      </w:r>
    </w:p>
    <w:p w14:paraId="33FA01F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申请登记社会团体，发起人应当向登记管理机关提交下列文件：</w:t>
      </w:r>
    </w:p>
    <w:p w14:paraId="2991FCF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(一)登记申请书；</w:t>
      </w:r>
    </w:p>
    <w:p w14:paraId="4560F31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(二)业务主管单位的批准文件；</w:t>
      </w:r>
    </w:p>
    <w:p w14:paraId="1C8BB8E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(三)验资报告、场所使用权证明；</w:t>
      </w:r>
    </w:p>
    <w:p w14:paraId="29854A6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(四)发起人和拟任负责人的基本情况、身份证明；</w:t>
      </w:r>
    </w:p>
    <w:p w14:paraId="7E9CD12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(五)章程草案。</w:t>
      </w:r>
    </w:p>
    <w:p w14:paraId="62F1AA6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登记管理</w:t>
      </w:r>
      <w:bookmarkStart w:id="0" w:name="_GoBack"/>
      <w:r>
        <w:rPr>
          <w:rFonts w:hint="eastAsia" w:ascii="仿宋_GB2312" w:hAnsi="仿宋_GB2312" w:eastAsia="仿宋_GB2312" w:cs="仿宋_GB2312"/>
          <w:sz w:val="32"/>
          <w:szCs w:val="32"/>
        </w:rPr>
        <w:t>机关应当</w:t>
      </w:r>
      <w:bookmarkEnd w:id="0"/>
      <w:r>
        <w:rPr>
          <w:rFonts w:hint="eastAsia" w:ascii="仿宋_GB2312" w:hAnsi="仿宋_GB2312" w:eastAsia="仿宋_GB2312" w:cs="仿宋_GB2312"/>
          <w:sz w:val="32"/>
          <w:szCs w:val="32"/>
        </w:rPr>
        <w:t>自收到本条例第十一条所列全部有效文件之日起60日内，作出准予或者不予登记的决定。准予登记的，发给《社会团体法人登记证书》；不予登记的，应当向发起人说明理由。</w:t>
      </w:r>
    </w:p>
    <w:p w14:paraId="586C026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社会团体登记事项包括：名称、住所、宗旨、业务范围、活动地域、法定代表人、活动资金和业务主管单位。</w:t>
      </w:r>
    </w:p>
    <w:p w14:paraId="3CC6BE7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社会团体的法定代表人，不得同时担任其他社会团体的法定代表人。</w:t>
      </w:r>
    </w:p>
    <w:p w14:paraId="5BD7781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有下列情形之一的，登记管理机关不予登记：</w:t>
      </w:r>
    </w:p>
    <w:p w14:paraId="6C6449D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(一)有根据证明申请登记的社会团体的宗旨、业务范围不符合本条例第四条的规定的；</w:t>
      </w:r>
    </w:p>
    <w:p w14:paraId="3B618F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(二)在同一行政区域内已有业务范围相同或者相似的社会团体，没有必要成立的；</w:t>
      </w:r>
    </w:p>
    <w:p w14:paraId="562711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(三)发起人、拟任负责人正在或者曾经受到剥夺政治权利的刑事处罚，或者不具有完全民事行为能力的；</w:t>
      </w:r>
    </w:p>
    <w:p w14:paraId="4C8C22F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(四)在申请登记时弄虚作假的；</w:t>
      </w:r>
    </w:p>
    <w:p w14:paraId="1CB0CF0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(五)有法律、行政法规禁止的其他情形的。</w:t>
      </w:r>
    </w:p>
    <w:p w14:paraId="06AEDAB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社会团体的章程应当包括下列事项：</w:t>
      </w:r>
    </w:p>
    <w:p w14:paraId="53DD82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(一)名称、住所；</w:t>
      </w:r>
    </w:p>
    <w:p w14:paraId="004B4FD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(二)宗旨、业务范围和活动地域；</w:t>
      </w:r>
    </w:p>
    <w:p w14:paraId="24C584E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(三)会员资格及其权利、义务；</w:t>
      </w:r>
    </w:p>
    <w:p w14:paraId="3E0CA1B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(四)民主的组织管理制度，执行机构的产生程序；</w:t>
      </w:r>
    </w:p>
    <w:p w14:paraId="2772FB1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(五)负责人的条件和产生、罢免的程序；</w:t>
      </w:r>
    </w:p>
    <w:p w14:paraId="3AADBBE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(六)资产管理和使用的原则；</w:t>
      </w:r>
    </w:p>
    <w:p w14:paraId="3CE0DDA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(七)章程的修改程序；</w:t>
      </w:r>
    </w:p>
    <w:p w14:paraId="3CC15B3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(八)终止程序和终止后资产的处理；</w:t>
      </w:r>
    </w:p>
    <w:p w14:paraId="2B598BF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(九)应当由章程规定的其他事项。</w:t>
      </w:r>
    </w:p>
    <w:p w14:paraId="1DBFCE3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依照法律规定，自批准成立之日起即具有法人资格的社会团体，应当自批准成立之日起60日内向登记管理机关提交批准文件，申领《社会团体法人登记证书》。登记管理机关自收到文件之日起30日内发给《社会团体法人登记证书》。</w:t>
      </w:r>
    </w:p>
    <w:p w14:paraId="14A068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社会团体凭《社会团体法人登记证书》申请刻制印章，开立银行账户。社会团体应当将印章式样和银行账号报登记管理机关备案。</w:t>
      </w:r>
    </w:p>
    <w:p w14:paraId="74BAA48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社会团体的分支机构、代表机构是社会团体的组成部分，不具有法人资格，应当按照其所属于的社会团体的章程所规定的宗旨和业务范围，在该社会团体授权的范围内开展活动、发展会员。社会团体的分支机构不得再设立分支机构。</w:t>
      </w:r>
    </w:p>
    <w:p w14:paraId="6B1497A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社会团体不得设立地域性的分支机构。</w:t>
      </w:r>
    </w:p>
    <w:p w14:paraId="253555A0">
      <w:pPr>
        <w:pStyle w:val="3"/>
        <w:rPr>
          <w:sz w:val="32"/>
          <w:szCs w:val="32"/>
        </w:rPr>
      </w:pPr>
      <w:r>
        <w:rPr>
          <w:rFonts w:ascii="Times New Roman" w:hAnsi="Times New Roman" w:cs="Times New Roman"/>
          <w:sz w:val="32"/>
          <w:szCs w:val="32"/>
        </w:rPr>
        <w:t>第四章　变更登记、注销登记</w:t>
      </w:r>
    </w:p>
    <w:p w14:paraId="6CDA209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社会团体的登记事项需要变更的，应当自业务主管单位审查同意之日起30日内，向登记管理机关申请变更登记。</w:t>
      </w:r>
    </w:p>
    <w:p w14:paraId="507131C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社会团体修改章程，应当自业务主管单位审查同意之日起30日内，报登记管理机关核准。</w:t>
      </w:r>
    </w:p>
    <w:p w14:paraId="563404A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社会团体有下列情形之一的，应当在业务主管单位审查同意后，向登记管理机关申请注销登记：</w:t>
      </w:r>
    </w:p>
    <w:p w14:paraId="2EBEDF9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(一)完成社会团体章程规定的宗旨的；</w:t>
      </w:r>
    </w:p>
    <w:p w14:paraId="4DB14A4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(二)自行解散的；</w:t>
      </w:r>
    </w:p>
    <w:p w14:paraId="68AB1BE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(三)分立、合并的；</w:t>
      </w:r>
    </w:p>
    <w:p w14:paraId="054D521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(四)由于其他原因终止的。</w:t>
      </w:r>
    </w:p>
    <w:p w14:paraId="06D59B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机关会同登记管理机关可以根据需要明确行业协会商会的行业管理部门。业务主管单位、行业管理部门及有关机关对存在会员或者机构规模过小、业务领域划分过细、功能作用较弱、业务交叉重叠等情形的行业协会商会，可以要求合并；对存在任务已完成、行业调整需要、运转严重失灵、严重扰乱秩序等情形的行业协会商会，可以要求终止。</w:t>
      </w:r>
    </w:p>
    <w:p w14:paraId="42CC1AB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社会团体在办理注销登记前，应当在业务主管单位或者登记管理机关的指导下，成立清算组织，完成债务处理等清算工作，行业管理部门予以配合。</w:t>
      </w:r>
    </w:p>
    <w:p w14:paraId="61067A5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社会团体未及时履行清算义务的，业务主管单位、行业管理部门、登记管理机关或者利害关系人可以依法申请人民法院指定有关人员组成清算组进行清算。</w:t>
      </w:r>
    </w:p>
    <w:p w14:paraId="0AB0191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清算期间，社会团体不得从事与清算无关的活动。</w:t>
      </w:r>
    </w:p>
    <w:p w14:paraId="025C0F9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社会团体应当自清算结束之日起15日内向登记管理机关办理注销登记。办理注销登记，应当提交法定代表人签署的注销登记申请书、业务主管单位的审查文件和清算报告书。</w:t>
      </w:r>
    </w:p>
    <w:p w14:paraId="3959E51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登记管理机关准予注销登记的，发给注销证明文件，收缴该社会团体的登记证书、印章和财务凭证。</w:t>
      </w:r>
    </w:p>
    <w:p w14:paraId="6CDD085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业协会商会存在本条例第十九条第二款规定情形的，由业务主管单位、行业管理部门或者有关机关制定合并或者终止方案，经登记管理机关会同有关机关审核后，有关行业协会商会应当依照本条例的规定办理变更登记、注销登记；有关行业协会商会难以自主办理的，由业务主管单位、行业管理部门及有关机关向登记管理机关提出变更、注销相关行业协会商会，登记管理机关予以办理。</w:t>
      </w:r>
    </w:p>
    <w:p w14:paraId="4EFC962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社会团体注销后剩余财产的处理，按照国家有关规定办理。</w:t>
      </w:r>
    </w:p>
    <w:p w14:paraId="3ED9DA1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社会团体成立、注销或者变更名称、住所、法定代表人，由登记管理机关予以公告。</w:t>
      </w:r>
    </w:p>
    <w:p w14:paraId="065DBEFE">
      <w:pPr>
        <w:pStyle w:val="3"/>
        <w:bidi w:val="0"/>
        <w:rPr>
          <w:sz w:val="32"/>
          <w:szCs w:val="32"/>
        </w:rPr>
      </w:pPr>
      <w:r>
        <w:rPr>
          <w:sz w:val="32"/>
          <w:szCs w:val="32"/>
        </w:rPr>
        <w:t>第五章　监 督 管 理</w:t>
      </w:r>
    </w:p>
    <w:p w14:paraId="454C2D6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登记管理机关履行下列监督管理职责：</w:t>
      </w:r>
    </w:p>
    <w:p w14:paraId="25F913B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(一)负责社会团体的成立、变更、注销的登记；</w:t>
      </w:r>
    </w:p>
    <w:p w14:paraId="4F792DC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(二)对社会团体实施年度检查；</w:t>
      </w:r>
    </w:p>
    <w:p w14:paraId="6A04CA4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(三)对社会团体违反本条例的问题进行监督检查，对社会团体违反本条例的行为给予行政处罚。</w:t>
      </w:r>
    </w:p>
    <w:p w14:paraId="0C88E18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业务主管单位履行下列监督管理职责：</w:t>
      </w:r>
    </w:p>
    <w:p w14:paraId="2C0C21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(一)负责社会团体成立登记、变更登记、注销登记前的审查；</w:t>
      </w:r>
    </w:p>
    <w:p w14:paraId="68E5AF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(二)监督、指导社会团体遵守宪法、法律、法规和国家政策，依据其章程开展活动；</w:t>
      </w:r>
    </w:p>
    <w:p w14:paraId="7451807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(三)负责社会团体年度检查的初审；</w:t>
      </w:r>
    </w:p>
    <w:p w14:paraId="69F3512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(四)协助登记管理机关和其他有关部门查处社会团体的违法行为；</w:t>
      </w:r>
    </w:p>
    <w:p w14:paraId="364563A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(五)会同有关机关指导社会团体的清算事宜。</w:t>
      </w:r>
    </w:p>
    <w:p w14:paraId="66EB13C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pacing w:val="0"/>
          <w:sz w:val="32"/>
          <w:szCs w:val="32"/>
        </w:rPr>
        <w:t>业务主管单位履行前款规定的职责，不得向社会团体收取费用。</w:t>
      </w:r>
    </w:p>
    <w:p w14:paraId="09C5DC1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社会团体的资产来源必须合法，任何单位和个人不得侵占、私分或者挪用社会团体的资产。</w:t>
      </w:r>
    </w:p>
    <w:p w14:paraId="353601E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社会团体的经费，以及开展章程规定的活动按照国家有关规定所取得的合法收入，必须用于章程规定的业务活动，不得在会员中分配。</w:t>
      </w:r>
    </w:p>
    <w:p w14:paraId="7A72691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接受捐赠、资助，必须符合章程规定的宗旨和业务范围，必须根据与捐赠人、资助人约定的期限、方式和合法用途使用。社会团体应当向业务主管单位报告接受、使用捐赠、资助的有关情况，并应当将有关情况以适当方式向社会公布。</w:t>
      </w:r>
    </w:p>
    <w:p w14:paraId="1A751BE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社会团体专职工作人员的工资和保险福利待遇，参照国家对事业单位的有关规定执行。</w:t>
      </w:r>
    </w:p>
    <w:p w14:paraId="5E1642F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社会团体必须执行国家规定的财务管理制度，接受财政部门的监督；资产来源属于国家拨款或者社会捐赠、资助的，还应当接受审计机关的监督。</w:t>
      </w:r>
    </w:p>
    <w:p w14:paraId="5F242EC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社会团体在换届或者更换法定代表人之前，登记管理机关、业务主管单位应当组织对其进行财务审计。</w:t>
      </w:r>
    </w:p>
    <w:p w14:paraId="36E8E45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社会团体应当于每年3月31日前向业务主管单位报送上一年度的工作报告，经业务主管单位初审同意后，于5月31日前报送登记管理机关，接受年度检查。工作报告的内容包括：本社会团体遵守法律法规和国家政策的情况、依照本条例履行登记手续的情况、按照章程开展活动的情况、人员和机构变动的情况以及财务管理的情况。</w:t>
      </w:r>
    </w:p>
    <w:p w14:paraId="4439DFC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对于依照本条例第十</w:t>
      </w:r>
      <w:r>
        <w:rPr>
          <w:rFonts w:hint="eastAsia" w:ascii="仿宋_GB2312" w:hAnsi="仿宋_GB2312" w:eastAsia="仿宋_GB2312" w:cs="仿宋_GB2312"/>
          <w:spacing w:val="6"/>
          <w:sz w:val="32"/>
          <w:szCs w:val="32"/>
        </w:rPr>
        <w:t>五条的规定发给《社会团体法人登记证书》的社会团体，登记管理机关对其应当简化年度检查</w:t>
      </w:r>
      <w:r>
        <w:rPr>
          <w:rFonts w:hint="eastAsia" w:ascii="仿宋_GB2312" w:hAnsi="仿宋_GB2312" w:eastAsia="仿宋_GB2312" w:cs="仿宋_GB2312"/>
          <w:sz w:val="32"/>
          <w:szCs w:val="32"/>
        </w:rPr>
        <w:t>的内容。</w:t>
      </w:r>
    </w:p>
    <w:p w14:paraId="4379E578">
      <w:pPr>
        <w:pStyle w:val="3"/>
        <w:rPr>
          <w:sz w:val="32"/>
          <w:szCs w:val="32"/>
        </w:rPr>
      </w:pPr>
      <w:r>
        <w:rPr>
          <w:rFonts w:ascii="Times New Roman" w:hAnsi="Times New Roman" w:cs="Times New Roman"/>
          <w:sz w:val="32"/>
          <w:szCs w:val="32"/>
        </w:rPr>
        <w:t>第六章　罚　　则</w:t>
      </w:r>
    </w:p>
    <w:p w14:paraId="21DA571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社会团体在申请登记时弄虚作假，骗取登记的，或者自取得《社会团体法人登记证书》之日起1年未开展活动的，由登记管理机关予以撤销登记。</w:t>
      </w:r>
    </w:p>
    <w:p w14:paraId="7C18E36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社会团体有下列情形之一的，由登记管理机关给予警告，责令改正，可以限期停止活动，并可以责令撤换直接负责的主管人员；情节严重的，吊销登记证书；构成犯罪的，依法追究刑事责任：</w:t>
      </w:r>
    </w:p>
    <w:p w14:paraId="03B9EF5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(一)涂改、出租、出借《社会团体法人登记证书》，或者出租、出借社会团体印章的；</w:t>
      </w:r>
    </w:p>
    <w:p w14:paraId="5F5A622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(二)超出章程规定的宗旨和业务范围进行活动的；</w:t>
      </w:r>
    </w:p>
    <w:p w14:paraId="5CF59B9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(三)拒不接受或者不按照规定接受监督检查的；</w:t>
      </w:r>
    </w:p>
    <w:p w14:paraId="3AB1C4F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(四)内部管理不力导致运转失灵的；</w:t>
      </w:r>
    </w:p>
    <w:p w14:paraId="4EDA52A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(五)不按照规定办理变更登记、注销登记的；</w:t>
      </w:r>
    </w:p>
    <w:p w14:paraId="558CD9A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(六)违反规定设立分支机构、代表机构，或者对分支机构、代表机构疏于管理，造成严重后果的；</w:t>
      </w:r>
    </w:p>
    <w:p w14:paraId="61DD1E5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(七)从事营利性的经营活动的；</w:t>
      </w:r>
    </w:p>
    <w:p w14:paraId="24D0EAE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(八)侵占、私分、挪用社会团体资产或者所接受的捐赠、资助的；</w:t>
      </w:r>
    </w:p>
    <w:p w14:paraId="3D1AB65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(九)违反国家有关规定收取费用、筹集资金或者接受、使用捐赠、资助的。</w:t>
      </w:r>
    </w:p>
    <w:p w14:paraId="5FEC85E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前款规定的行为有违法经营额或者违法所得的，予以没收，可以并处违法经营额1倍以上3倍以下或者违法所得3倍以上5倍以下的罚款。</w:t>
      </w:r>
    </w:p>
    <w:p w14:paraId="2C0B098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社会团体的活动违反其他法律、法规和国家有关规定的，由有关国家机关依法处理；有关国家机关认为依法应当吊销登记证书的，由登记管理机关吊销登记证书。</w:t>
      </w:r>
    </w:p>
    <w:p w14:paraId="7316112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筹备期间开展筹备以外的活动，或者未经登记，擅自以社会团体名义进行活动，以及被撤销登记的社会团体继续以社会团体名义进行活动的，由登记管理机关予以取缔，没收非法财产；构成犯罪的，依法追究刑事责任；尚不构成犯罪的，依法给予治安管理处罚。</w:t>
      </w:r>
    </w:p>
    <w:p w14:paraId="190DC02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社会团体被责令限期停止活动的，由登记管理机关封存《社会团体法人登记证书》、印章和财务凭证。</w:t>
      </w:r>
    </w:p>
    <w:p w14:paraId="51D8E21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社会团体被撤销登记、吊销登记证书的，由登记管理机关收缴《社会团体法人登记证书》和印章。</w:t>
      </w:r>
    </w:p>
    <w:p w14:paraId="1371B3B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登记管理机关、业务主管单位、行业管理部门及有关机关的工作人员滥用职权、徇私舞弊、玩忽职守构成犯罪的，依法追究刑事责任；尚不构成犯罪的，依法给予处分。</w:t>
      </w:r>
    </w:p>
    <w:p w14:paraId="02F925C4">
      <w:pPr>
        <w:pStyle w:val="3"/>
        <w:rPr>
          <w:sz w:val="32"/>
          <w:szCs w:val="32"/>
        </w:rPr>
      </w:pPr>
      <w:r>
        <w:rPr>
          <w:rFonts w:ascii="Times New Roman" w:hAnsi="Times New Roman" w:cs="Times New Roman"/>
          <w:sz w:val="32"/>
          <w:szCs w:val="32"/>
        </w:rPr>
        <w:t>第七章　附　　则</w:t>
      </w:r>
    </w:p>
    <w:p w14:paraId="7FC6E23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《社会团体法人登记证书》的式样由国务院民政部门制定。</w:t>
      </w:r>
    </w:p>
    <w:p w14:paraId="503CF15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对社会团体进行年度检查不得收取费用。</w:t>
      </w:r>
    </w:p>
    <w:p w14:paraId="58EB160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本条例施行前已经成立的社会团体，应当自本条例施行之日起1年内依照本条例有关规定申请重新登记。</w:t>
      </w:r>
    </w:p>
    <w:p w14:paraId="16609E0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本条例自发布之日起施行。1989年10月25日国务院发布的《社会团体登记管理条例》同时废止。</w:t>
      </w:r>
    </w:p>
    <w:p w14:paraId="59D7CE9E">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4011D1"/>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8244C4"/>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320716"/>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37399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4975</Words>
  <Characters>5007</Characters>
  <Lines>69</Lines>
  <Paragraphs>19</Paragraphs>
  <TotalTime>3</TotalTime>
  <ScaleCrop>false</ScaleCrop>
  <LinksUpToDate>false</LinksUpToDate>
  <CharactersWithSpaces>5067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2026-03-18T07:04:30Z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