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p>
    <w:p w14:paraId="1CCA9C9F">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lang w:eastAsia="zh-CN"/>
        </w:rPr>
        <w:t>中华人民共和国药品管理法实施条例</w:t>
      </w:r>
    </w:p>
    <w:p w14:paraId="27A4839C">
      <w:pPr>
        <w:widowControl/>
        <w:spacing w:line="500" w:lineRule="exact"/>
        <w:jc w:val="center"/>
        <w:rPr>
          <w:rFonts w:hint="eastAsia" w:ascii="宋体" w:hAnsi="宋体" w:cs="宋体"/>
          <w:color w:val="333333"/>
          <w:sz w:val="44"/>
          <w:szCs w:val="44"/>
          <w:shd w:val="clear" w:color="auto" w:fill="FFFFFF"/>
        </w:rPr>
      </w:pPr>
    </w:p>
    <w:p w14:paraId="626F919E">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r>
        <w:rPr>
          <w:rFonts w:hint="eastAsia" w:ascii="楷体_GB2312" w:hAnsi="楷体_GB2312" w:eastAsia="楷体_GB2312" w:cs="楷体_GB2312"/>
          <w:bCs/>
          <w:spacing w:val="11"/>
          <w:kern w:val="2"/>
          <w:sz w:val="32"/>
          <w:szCs w:val="32"/>
          <w:shd w:val="clear" w:color="auto" w:fill="FFFFFF"/>
          <w:lang w:val="en-US" w:eastAsia="zh-CN" w:bidi="ar-SA"/>
        </w:rPr>
        <w:t>(2002年8月4日中华人民共和国国务院令第360号公布　根据2016年2月6日《国务院关于修改部分行政法规的决定》第一次修订　根据2019年3月2日《国务院关于修改部分行政法规的决定》第二次修订　根据2024年12月6日《国务院关于修改和废止部分行政法规的决定》第三次修订　2026年1月16日中华人民共和国国务院令第828号第四次修订</w:t>
      </w:r>
      <w:r>
        <w:rPr>
          <w:rFonts w:hint="eastAsia" w:ascii="楷体_GB2312" w:hAnsi="楷体_GB2312" w:eastAsia="楷体_GB2312" w:cs="楷体_GB2312"/>
          <w:bCs/>
          <w:spacing w:val="11"/>
          <w:kern w:val="2"/>
          <w:sz w:val="32"/>
          <w:szCs w:val="32"/>
          <w:shd w:val="clear" w:color="auto" w:fill="FFFFFF"/>
          <w:lang w:val="en-US" w:eastAsia="zh-CN" w:bidi="ar-SA"/>
        </w:rPr>
        <w:t>)</w:t>
      </w:r>
    </w:p>
    <w:p w14:paraId="092D5077">
      <w:pPr>
        <w:pStyle w:val="3"/>
        <w:bidi w:val="0"/>
      </w:pPr>
      <w:r>
        <w:t>第一章　总　　则</w:t>
      </w:r>
    </w:p>
    <w:p w14:paraId="0B9BDE5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根据《中华人民共和国药品管理法》(以下简称药品管理法)，制定本条例。</w:t>
      </w:r>
    </w:p>
    <w:p w14:paraId="761AFBF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从事药品研制、生产、经营、使用和监督管理活动，应当坚持以人民健康为中心，遵循科学规律和伦理原则，全面防控风险。</w:t>
      </w:r>
    </w:p>
    <w:p w14:paraId="5E28D58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完善药品创新体系，支持以临床价值为导向的药品研制和创新，鼓励研究和创制新药，支持新药临床推广和使用；促进中药传承创新，充分发挥中药在预防、医疗和保健中的作用；促进仿制药研发创新，提升仿制药质量和疗效。</w:t>
      </w:r>
    </w:p>
    <w:p w14:paraId="33BF0F1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县级以上人民政府承担药品监督管理职责的部门(以下称药品监督管理部门)负责药品监督管理工作。县级以上人民政府其他有关部门在各自职责范围内负责与药品有关的监督管理工作。</w:t>
      </w:r>
    </w:p>
    <w:p w14:paraId="45FC9E1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工业和信息化主管部门、国务院商务主管部门等按照职责分工，根据国民经济和社会发展规划、药品产业发展情况制定国家药品生产、流通等行业发展相关规划和产业政策，推动药品产业结构调整和技术创新，提升产业链韧性和安全水平，促进药品产业高质量发展。国务院药品监督管理部门配合国务院工业和信息化主管部门、国务院商务主管部门等，执行国家药品行业发展相关规划和产业政策。</w:t>
      </w:r>
    </w:p>
    <w:p w14:paraId="4F13F05C">
      <w:pPr>
        <w:pStyle w:val="3"/>
        <w:bidi w:val="0"/>
      </w:pPr>
      <w:r>
        <w:t>第二章　药品研制和注册</w:t>
      </w:r>
    </w:p>
    <w:p w14:paraId="27FB5A8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从事药品研制活动，应当遵守药物非临床研究质量管理规范、药物临床试验质量管理规范，保证记录和数据真实、准确、完整和可追溯。</w:t>
      </w:r>
    </w:p>
    <w:p w14:paraId="764E513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以申请药品注册为目的开展药物非临床安全性评价研究活动的，应当由经过资格认定的药物非临床安全性评价研究机构实施。申请药物非临床安全性评价研究机构资格认定应当向国务院药品监督管理部门提出申请，提交证明其符合药物非临床研究质量管理规范的资料。国务院药品监督管理部门应当组织开展审查，并自受理申请之日起20个工作日内作出决定。对符合规定条件的，准予许可并发给资格证书；对不符合规定条件的，不予许可并书面说明理由。</w:t>
      </w:r>
    </w:p>
    <w:p w14:paraId="1E805CE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药物非临床安全性评价研究机构资格证书有效期为5年。有效期届满，需要继续实施药物非临床安全性评价研究的，应当申请重新核发资格证书。</w:t>
      </w:r>
    </w:p>
    <w:p w14:paraId="71369C8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药物临床试验申办者应当选择具备相应能力的药物临床试验机构和研究者，并履行受试者保护、临床试验用药品管理、临床试验数据管理、风险管理等责任。</w:t>
      </w:r>
    </w:p>
    <w:p w14:paraId="283F39C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临床试验用药品的制备，应当符合药品生产质量管理规范的有关要求。</w:t>
      </w:r>
    </w:p>
    <w:p w14:paraId="16887F9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药物临床试验申办者、药物临床试验机构不得向受试者收取与临床试验有关的费用。</w:t>
      </w:r>
    </w:p>
    <w:p w14:paraId="227AE88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依照药品管理法第十九条第一款规定批准开展的药物临床试验变更申办者的，应当向国务院药品监督管理部门提出申请。国务院药品监督管理部门应当自受理申请之日起20个工作日内进行审查并作出决定。</w:t>
      </w:r>
    </w:p>
    <w:p w14:paraId="1682D9B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以申请药品注册为目的在境外开展药品研制活动的，应当遵守药品管理法、本条例等法律、法规、规章、标准和规范的有关规定；在境外取得的研究数据，符合国务院药品监督管理部门有关规定的，可以用于申请药品注册。</w:t>
      </w:r>
    </w:p>
    <w:p w14:paraId="6300194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以申请药品注册为目的进口研制或者检验所需的对照药品、样品的，应当经国务院药品监督管理部门批准；但是，药物临床试验批准证明文件载明的临床试验用药品可以凭批准证明文件进口。国务院药品监督管理部门应当自受理申请之日起20个工作日内进行审查并作出决定。</w:t>
      </w:r>
    </w:p>
    <w:p w14:paraId="767CB45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研制化学仿制药应当按照国务院药品监督管理部门制定的技术要求，科学选择对照药品进行对比研究；有经国务院药品监督管理部门确定的参比制剂的，应当选择参比制剂作为对照药品进行对比研究。</w:t>
      </w:r>
    </w:p>
    <w:p w14:paraId="5748167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研制中药应当以中医药理论为指导，根据中医药理论、中药人用经验、临床试验数据等综合评价中药的安全性、有效性。评价中药的有效性应当与其临床定位相适应，体现中药的特点。</w:t>
      </w:r>
    </w:p>
    <w:p w14:paraId="188280D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研制、生产中药应当保障中药材来源、质量的稳定性和资源的可持续利用，避免对生态环境产生不利影响；涉及野生动物、植物的，应当符合国家有关规定。</w:t>
      </w:r>
    </w:p>
    <w:p w14:paraId="6BCF50B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对申请注册的药品，国务院药品监督管理部门依照药品管理法第二十五条规定进行审评审批。</w:t>
      </w:r>
    </w:p>
    <w:p w14:paraId="6EE6E0C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为支持以临床价值为导向的药品研制和创新，国务院药品监督管理部门可以对符合条件的药品注册申请采用突破性治疗药物程序、附条件批准程序、优先审评审批程序、特别审批程序等，加快药品上市。</w:t>
      </w:r>
    </w:p>
    <w:p w14:paraId="61356E7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国务院药品监督管理部门建立健全符合中药特点的审评审批、检查检验和标准管理制度。</w:t>
      </w:r>
    </w:p>
    <w:p w14:paraId="4D13EA1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国务院药品监督管理部门在审批药品时，对化学原料药一并审评审批；符合条件的，对药品颁发药品注册证书，对化学原料药颁发化学原料药批准证书。仿制已注册药品使用的化学原料药的，也可以直接向国务院药品监督管理部门提出审评审批申请；符合条件的，颁发化学原料药批准证书。国务院药品监督管理部门在审评审批化学原料药时，对化学原料药的质量标准、生产工艺、标签一并核准。</w:t>
      </w:r>
    </w:p>
    <w:p w14:paraId="0A592D7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转让药品注册证书、化学原料药批准证书的，应当向国务院药品监督管理部门提出申请。国务院药品监督管理部门应当自受理申请之日起20个工作日内进行审查并作出决定。</w:t>
      </w:r>
    </w:p>
    <w:p w14:paraId="67BB075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药品注册证书、化学原料药批准证书有效期为5年。有效期届满，需要继续上市的，应当申请再注册。</w:t>
      </w:r>
    </w:p>
    <w:p w14:paraId="0E2836A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药品上市许可持有人、化学原料药生产企业应当向所在地省级人民政府药品监督管理部门申请再注册；药品上市许可持有人、化学原料药生产企业为境外企业的，应当向国务院药品监督管理部门申请再注册。</w:t>
      </w:r>
    </w:p>
    <w:p w14:paraId="5D09EBF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符合国务院药品监督管理部门规定的非处方药注册情形的，药品注册申请人可以直接提出非处方药注册申请。</w:t>
      </w:r>
    </w:p>
    <w:p w14:paraId="7760F62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注册的处方药，药品上市许可持有人认为适宜作为非处方药管理的，可以向国务院药品监督管理部门申请转换为非处方药。已注册的非处方药，药品上市许可持有人根据不良反应监测和上市后评价结果认为不适宜作为非处方药管理的，应当向国务院药品监督管理部门申请转换为处方药。国务院药品监督管理部门组织开展评价后认为符合要求的，决定将处方药转换为非处方药或者将非处方药转换为处方药，并向社会公告。</w:t>
      </w:r>
    </w:p>
    <w:p w14:paraId="1C8E0D8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国务院药品监督管理部门根据保障公众用药安全的需要，组织开展评价后可以决定将非处方药转换为处方药。</w:t>
      </w:r>
    </w:p>
    <w:p w14:paraId="6C20AEE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国家推动提高药品标准，持续提升药品质量水平。</w:t>
      </w:r>
    </w:p>
    <w:p w14:paraId="73317AA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国务院药品监督管理部门核准的药品质量标准，为药品注册标准。药品注册标准应当符合《中华人民共和国药典》的通用技术要求，并且不得低于相应的国家药品标准。药品上市许可持有人应当根据国家药品标准的制定和修订情况，对药品注册标准进行评估，需要修订的，及时修订并按照国务院药品监督管理部门的规定提出变更申请或者进行备案、报告。</w:t>
      </w:r>
    </w:p>
    <w:p w14:paraId="25D55AE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研制药品、申请药品注册应当使用国家药品标准品、对照品。没有国家药品标准品、对照品的，药品注册申请人应当向国务院药品监督管理部门设置或者指定的药品检验机构报送药品质量标准研究所使用的原料及相关技术资料，药品检验机构应当依法研制、标定国家药品标准品、对照品。</w:t>
      </w:r>
    </w:p>
    <w:p w14:paraId="43398C3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国务院药品监督管理部门设置或者指定的药品检验机构应当加强国家药品标准品、对照品的研制能力，保障国家药品标准品、对照品的供应。</w:t>
      </w:r>
    </w:p>
    <w:p w14:paraId="559557B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国家支持儿童用药品、罕见病治疗用药品的研制和创新。</w:t>
      </w:r>
    </w:p>
    <w:p w14:paraId="055F21E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对儿童用药品新品种、采用新剂型或者新规格的儿童用药品、增加儿童适应症的药品，符合条件的，给予不超过2年的市场独占期。</w:t>
      </w:r>
    </w:p>
    <w:p w14:paraId="7DB7C7C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对符合条件的罕见病治疗用药品，药品上市许可持有人承诺保障药品供应的，给予不超过7年的市场独占期。药品上市许可持有人不履行保障药品供应承诺的，市场独占期终止。</w:t>
      </w:r>
    </w:p>
    <w:p w14:paraId="1A90F0D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给予市场独占期的具体条件和办法，由国务院药品监督管理部门制定。</w:t>
      </w:r>
    </w:p>
    <w:p w14:paraId="7626D99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国家对含有新型化学成份的药品以及符合条件的其他药品的上市许可持有人提交的自行取得且未披露的试验数据和其他数据实施保护，任何人不得对该未披露的试验数据和其他数据进行不正当的商业利用。</w:t>
      </w:r>
    </w:p>
    <w:p w14:paraId="5F90F07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数据的保护期限自药品注册之日起不超过6年。在保护期限内，其他申请人未经药品上市许可持有人同意，使用前款规定的数据申请药品注册的，不予许可；但是，其他申请人提交自行取得数据的除外。</w:t>
      </w:r>
    </w:p>
    <w:p w14:paraId="53F971D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除下列情形外，药品监督管理部门不得披露本条第一款规定的数据：</w:t>
      </w:r>
    </w:p>
    <w:p w14:paraId="7A9D134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(一)公共利益需要；</w:t>
      </w:r>
    </w:p>
    <w:p w14:paraId="5A85AEA2">
      <w:pPr>
        <w:pStyle w:val="11"/>
        <w:ind w:firstLine="640"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pacing w:val="-6"/>
          <w:sz w:val="32"/>
          <w:szCs w:val="32"/>
        </w:rPr>
        <w:t>已采</w:t>
      </w:r>
      <w:r>
        <w:rPr>
          <w:rFonts w:hint="eastAsia" w:ascii="仿宋_GB2312" w:hAnsi="仿宋_GB2312" w:eastAsia="仿宋_GB2312" w:cs="仿宋_GB2312"/>
          <w:spacing w:val="-6"/>
          <w:sz w:val="32"/>
          <w:szCs w:val="32"/>
        </w:rPr>
        <w:t>取措施确保该类数据不会被不正当地进行商业利用。</w:t>
      </w:r>
    </w:p>
    <w:p w14:paraId="001BE20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本条第一款规定的数据的具体保护办法，由国务院药品监督管理部门制定。</w:t>
      </w:r>
    </w:p>
    <w:p w14:paraId="709DF5B1">
      <w:pPr>
        <w:pStyle w:val="3"/>
        <w:bidi w:val="0"/>
      </w:pPr>
      <w:r>
        <w:t>第三章　药品上市许可持有人</w:t>
      </w:r>
    </w:p>
    <w:p w14:paraId="5DF8E6A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药品上市许可持有人应当建立健全药品质量保证体系，设立独立的质量管理部门，配备生产负责人、质量负责人、质量受权人。质量受权人应当独立履行药品上市放行职责。</w:t>
      </w:r>
    </w:p>
    <w:p w14:paraId="572A8D1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药品上市许可持有人应当遵守药物警戒质量管理规范，建立健全药物警戒体系，对药品不良反应及其他与用药有关的有害反应进行监测，建立风险识别、评估和控制机制。药品经营企业、医疗机构应当配合药品上市许可持有人开展药物警戒工作。</w:t>
      </w:r>
    </w:p>
    <w:p w14:paraId="6B471FB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药物警戒质量管理规范由国务院药品监督管理部门制定。</w:t>
      </w:r>
    </w:p>
    <w:p w14:paraId="0C32200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药品上市许可持有人为境外企业的，其依照药品管理法第三十八条规定指定的中国境内企业法人应当具备相应的质量管理能力和风险控制能力，设立相应的管理部门、配备相应的人员；被指定的中国境内企业法人的相关信息应当在药品说明书中载明。</w:t>
      </w:r>
    </w:p>
    <w:p w14:paraId="5CB9C42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药品上市许可持有人应当按照国务院药品监督管理部门的规定，提供语音、大字、盲文或者电子等无障碍格式版本的药品标签、说明书，方便残疾人、老年人用药。</w:t>
      </w:r>
    </w:p>
    <w:p w14:paraId="0E2F20A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电子版本药品说明书内容应当与国务院药品监督管理部门核准的药品说明书内容一致，与纸质版本药品说明书具有同等效力；语音、盲文版本药品标签、说明书供参考。</w:t>
      </w:r>
    </w:p>
    <w:p w14:paraId="0D16FA2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药品上市许可持有人应当全面评估、验证药品生产过程中的变更对药品安全性、有效性和质量可控性的影响，按照国务院药品监督管理部门的规定提出变更申请或者进行备案、报告。</w:t>
      </w:r>
    </w:p>
    <w:p w14:paraId="780802F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监督管理部门应当加强对药品生产过程中变更的监督管理，发现药品上市许可持有人已备案或者报告变更的评估、验证不足以证明该变更科学、合理、风险可控，或者发现药品上市许可持有人选择的变更管理类别不当的，应当责令其改正、采取相应的风险控制措施，并依法予以处理。</w:t>
      </w:r>
    </w:p>
    <w:p w14:paraId="6D69A91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药品上市许可持有人应当持续考察已注册药品的质量、疗效和不良反应。</w:t>
      </w:r>
    </w:p>
    <w:p w14:paraId="7628C31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上市许可持有人应当对已注册药品定期开展上市后评价，对药品的风险和获益进行综合分析评估，根据上市后评价结果，采取修订说明书、提高质量标准、完善生产工艺、暂停生产和销售、实施药品召回、申请注销药品注册证书等措施。必要时，国务院药品监督管理部门可以责令药品上市许可持有人开展上市后评价或者直接组织开展上市后评价。</w:t>
      </w:r>
    </w:p>
    <w:p w14:paraId="2776C0A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药品上市许可持有人未按照规定持续考察已注册药品质量、疗效和不良反应，或者未按照国务院药品监督管理部门要求开展上市后评价的，药品注册证书有效期届满后不予再注册。</w:t>
      </w:r>
    </w:p>
    <w:p w14:paraId="1490FF1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中药饮片生产企业、中药配方颗粒生产企业履行药品上市许可持有人的相关义务，对中药饮片、中药配方颗粒生产、销售实行全过程管理，建立中药饮片、中药配方颗粒追溯体系，保证中药饮片、中药配方颗粒安全、有效、可追溯。</w:t>
      </w:r>
    </w:p>
    <w:p w14:paraId="4B60FC64">
      <w:pPr>
        <w:pStyle w:val="3"/>
        <w:bidi w:val="0"/>
      </w:pPr>
      <w:r>
        <w:t>第四章　药 品 生 产</w:t>
      </w:r>
    </w:p>
    <w:p w14:paraId="049617A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从事药品生产活动，应当向所在地省级人民政府药品监督管理部门提出申请，提交证明其符合药品管理法第四十二条规定条件的资料；从事疫苗生产活动，还应当提交证明其符合《中华人民共和国疫苗管理法》(以下简称疫苗管理法)第二十二条第三款规定条件的资料。省级人民政府药品监督管理部门应当组织开展审查，并自受理申请之日起30个工作日内作出决定。对符合规定条件的，准予许可并发给药品生产许可证；对不符合规定条件的，不予许可并书面说明理由。</w:t>
      </w:r>
    </w:p>
    <w:p w14:paraId="00B9736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药品生产企业变更药品生产许可证许可事项的，应当向原发证部门提出申请。原发证部门应当自受理申请之日起15个工作日内进行审查并作出决定。</w:t>
      </w:r>
    </w:p>
    <w:p w14:paraId="77D6ECE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药品生产许可证有效期为5年。有效期届满，需要继续生产药品的，应当申请重新核发药品生产许可证。</w:t>
      </w:r>
    </w:p>
    <w:p w14:paraId="6404221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药品上市许可持有人自行生产药品的，应当取得药品生产许可证。</w:t>
      </w:r>
    </w:p>
    <w:p w14:paraId="575A0DD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上市许可持有人委托生产药品的，应当委托符合条件的药品生产企业。药品上市许可持有人应当履行供应商审核、药品生产过程中的变更管理、药品上市放行等责任，对受托生产企业进行监督，保证药品生产全过程持续符合法定要求。受托生产企业应当按照药品生产质量管理规范组织生产，不得再次委托生产。</w:t>
      </w:r>
    </w:p>
    <w:p w14:paraId="41A5C7E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血液制品、麻醉药品、精神药品、医疗用毒性药品、药品类易制毒化学品以及含有麻醉药品、精神药品、药品类易制毒化学品成份的药品不得委托生产；但是，国务院药品监督管理部门另有规定的除外。</w:t>
      </w:r>
    </w:p>
    <w:p w14:paraId="0F9066A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药品上市许可持有人确有需要的，可以委托符合条件的药品生产企业分段生产下列药品：</w:t>
      </w:r>
    </w:p>
    <w:p w14:paraId="0905EC0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(一)生产工艺、设施设备有特殊要求的创新药；</w:t>
      </w:r>
    </w:p>
    <w:p w14:paraId="51B8DCA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(二)国务院有关部门提出的临床急需的药品、应对突发公共卫生事件急需的药品或者储备需要的药品；</w:t>
      </w:r>
    </w:p>
    <w:p w14:paraId="6DF5FE7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(三)国务院药品监督管理部门规定的其他药品。</w:t>
      </w:r>
    </w:p>
    <w:p w14:paraId="13D5D29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药品上市许可持有人委托分段生产药品的，应当建立覆盖药品生产全过程和全部生产场地的统一质量保证体系，保证药品生产全过程持续符合法定要求。</w:t>
      </w:r>
    </w:p>
    <w:p w14:paraId="3C32382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有下列情形之一，超出疫苗上市许可持有人生产能力的，经国务院药品监督管理部门批准，疫苗上市许可持有人可以委托符合条件的疫苗生产企业生产或者分段生产疫苗：</w:t>
      </w:r>
    </w:p>
    <w:p w14:paraId="6CDFBB4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(一)生产多联多价疫苗；</w:t>
      </w:r>
    </w:p>
    <w:p w14:paraId="0A084A4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(二)国务院有关部门提出疾病预防、控制急需或者储备需要；</w:t>
      </w:r>
    </w:p>
    <w:p w14:paraId="667DD5D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(三)国务院药品监督管理部门规定的其他情形。</w:t>
      </w:r>
    </w:p>
    <w:p w14:paraId="76DF875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生产疫苗、血液制品等生物制品，应当按照规定采用信息化手段如实记录生产、检验过程中形成的所有数据。</w:t>
      </w:r>
    </w:p>
    <w:p w14:paraId="726F641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在中国境内上市的药品在境外生产的，其生产活动应当符合药品管理法、本条例等法律、法规、规章、标准和规范的有关要求。境外生产的药品在境内分包装的，药品上市许可持有人向国务院药品监督管理部门备案后，实施分包装的药品生产企业可以向药品经营企业、医疗机构销售其分包装的药品。</w:t>
      </w:r>
    </w:p>
    <w:p w14:paraId="1B8C12C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取得药品批准证明文件前生产的下列药品，符合药品上市放行要求的，在取得药品批准证明文件后，可以上市销售：</w:t>
      </w:r>
    </w:p>
    <w:p w14:paraId="4EBE041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(一)通过相应药品生产质量管理规范符合性检查的商业规模批次产品；</w:t>
      </w:r>
    </w:p>
    <w:p w14:paraId="64ABCE7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(二)属于新药、罕见病治疗用药品、短缺药品以及其他临床急需的药品的，在通过相应药品生产质量管理规范符合性检查之后生产的商业规模批次产品。</w:t>
      </w:r>
    </w:p>
    <w:p w14:paraId="146277C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药品上市许可持有人应当加强对依照前款规定上市销售药品的风险管理。</w:t>
      </w:r>
    </w:p>
    <w:p w14:paraId="662510F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国家鼓励发展中药材规范化种植养殖，鼓励使用道地中药材。省级人民政府根据当地实际制定相关规划，鼓励实施中药材生产质量管理规范，推动中药材规范化种植养殖。</w:t>
      </w:r>
    </w:p>
    <w:p w14:paraId="6A5CA03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药材特点，可以对中药材进行产地加工。省级人民政府药品监督管理部门应当根据中药材生产质量管理规范，结合当地中药材资源分布、传统种植养殖历史和道地中药材特性等，制定中药材产地加工指导原则。</w:t>
      </w:r>
    </w:p>
    <w:p w14:paraId="34F15D4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生产药品使用的中药材应当符合国家药品标准、药品注册标准。没有国家药品标准、药品注册标准的，应当符合省级人民政府药品监督管理部门制定的地区性民间习用药材标准。</w:t>
      </w:r>
    </w:p>
    <w:p w14:paraId="36C1E41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首次进口中药材应当经国务院药品监督管理部门批准。国务院药品监督管理部门应当自受理申请之日起20个工作日内进行审查并作出决定。</w:t>
      </w:r>
    </w:p>
    <w:p w14:paraId="7683543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中药饮片生产企业应当自行炮制中药饮片，不得委托炮制中药饮片。</w:t>
      </w:r>
    </w:p>
    <w:p w14:paraId="65D063E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中药饮片应当按照国家药品标准炮制；国家药品标准没有规定的，应当按照省级人民政府药品监督管理部门制定的炮制规范炮制。</w:t>
      </w:r>
    </w:p>
    <w:p w14:paraId="36321AF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省级人民政府药品监督管理部门制定的炮制规范炮制的中药饮片可以跨省级行政区域销售、使用。其中，炮制方法、用药特点存在地区性差异且易导致临床用药混淆的中药饮片跨省级行政区域销售的，中药饮片生产企业应当在中药饮片标签上标明临床用药提示信息并向购进、使用地省级人民政府药品监督管理部门备案；医疗机构应当加强采购管理和合理用药监测，防止临床用药混淆。具体办法由国务院药品监督管理部门制定。</w:t>
      </w:r>
    </w:p>
    <w:p w14:paraId="51A1303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中药饮片的标签应当注明产品属性、品名、规格、中药材产地、生产企业、产品批号、生产日期、装量、保质期、执行标准、贮藏条件等；实施审批管理的中药饮片，还应当注明药品批准文号。</w:t>
      </w:r>
    </w:p>
    <w:p w14:paraId="50CD7E7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中药配方颗粒生产企业应当将所生产的中药配方颗粒品种向所在地省级人民政府药品监督管理部门备案。</w:t>
      </w:r>
    </w:p>
    <w:p w14:paraId="05F9742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中药配方颗粒生产企业应当自行炮制用于中药配方颗粒生产的中药饮片、自行生产中药配方颗粒，不得使用购进的中药饮片生产中药配方颗粒，不得委托生产中药配方颗粒。</w:t>
      </w:r>
    </w:p>
    <w:p w14:paraId="6C51D11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中药配方颗粒应当按照国家药品标准生产；国家药品标准没有规定的，应当按照省级人民政府药品监督管理部门制定的中药配方颗粒标准生产。</w:t>
      </w:r>
    </w:p>
    <w:p w14:paraId="1591649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省级人民政府药品监督管理部门制定的中药配方颗粒标准生产的中药配方颗粒可以跨省级行政区域销售、使用；中药配方颗粒跨省级行政区域销售的，中药配方颗粒生产企业应当向购进、使用地省级人民政府药品监督管理部门备案。</w:t>
      </w:r>
    </w:p>
    <w:p w14:paraId="2A29275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中药配方颗粒的标签应当注明品名、规格、生产企业、产品批号、生产日期、保质期、执行标准、贮藏条件、备案号等。</w:t>
      </w:r>
    </w:p>
    <w:p w14:paraId="20FA790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药品经营企业不得经营中药配方颗粒。</w:t>
      </w:r>
    </w:p>
    <w:p w14:paraId="7240EF6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从事辅料、直接接触药品的包装材料和容器生产活动，应当遵守药品生产质量管理规范的有关规定，建立健全生产质量管理体系，保证生产全过程持续符合法定要求。</w:t>
      </w:r>
    </w:p>
    <w:p w14:paraId="2434B2A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禁止使用国家已淘汰的辅料、直接接触药品的包装材料和容器生产药品。</w:t>
      </w:r>
    </w:p>
    <w:p w14:paraId="0F782746">
      <w:pPr>
        <w:pStyle w:val="3"/>
        <w:bidi w:val="0"/>
      </w:pPr>
      <w:r>
        <w:t>第五章　药 品 经 营</w:t>
      </w:r>
    </w:p>
    <w:p w14:paraId="2BF5799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从事药品经营活动，应当向所在地县级以上地方人民政府药品监督管理部门提出申请，提交证明其符合药品管理法第五十二条规定条件的资料。县级以上地方人民政府药品监督管理部门应当组织开展审查，并自受理申请之日起20个工作日内作出决定。对符合规定条件的，准予许可并发给药品经营许可证；对不符合规定条件的，不予许可并书面说明理由。</w:t>
      </w:r>
    </w:p>
    <w:p w14:paraId="5DFB459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药品经营企业变更药品经营许可证许可事项的，应当向原发证部门提出申请。原发证部门应当自受理申请之日起15个工作日内进行审查并作出决定。</w:t>
      </w:r>
    </w:p>
    <w:p w14:paraId="4EFABD4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药品经营许可证有效期为5年。有效期届满，需要继续经营药品的，应当申请重新核发药品经营许可证。</w:t>
      </w:r>
    </w:p>
    <w:p w14:paraId="0DD3EFA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药品经营企业应当配备与其经营范围、规模相适应的依法经过资格认定的药师或者其他药学技术人员；但是，只经营乙类非处方药的药品零售企业，可以按照国务院药品监督管理部门的规定配备药学技术人员。</w:t>
      </w:r>
    </w:p>
    <w:p w14:paraId="5EB3541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药品零售企业应当凭处方销售处方药。</w:t>
      </w:r>
    </w:p>
    <w:p w14:paraId="4074409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药品上市许可持有人、药品生产企业、药品经营企业储存、运输药品，应当根据药品的包装、质量特性、温度控制要求等采取有效措施，保证储存、运输过程中的药品质量。药品上市许可持有人、药品生产企业、药品经营企业委托储存、运输药品的，应当选择具备相应能力的受托方，并对受托方进行监督。受托方应当加强药品储存、运输过程管理，采取有效措施保证药品质量。</w:t>
      </w:r>
    </w:p>
    <w:p w14:paraId="087861A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药品零售企业向患者配送的药品应当有独立包装和显著标识。</w:t>
      </w:r>
    </w:p>
    <w:p w14:paraId="2267586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药品网络交易第三方平台提供者应当建立健全药品网络销售质量管理体系，设立相应的管理部门、配备药学技术人员等相关专业人员，制定并实施药品质量管理、配送管理等制度。药品网络交易第三方平台提供者应当对申请进入平台经营的药品上市许可持有人、药品经营企业的资质等进行审核，对平台展示的药品信息进行检查，对发生在平台的药品经营行为进行管理。药品网络交易第三方平台提供者应当按照规定保存审核、检查记录以及平台展示的药品信息。</w:t>
      </w:r>
    </w:p>
    <w:p w14:paraId="3EBCFFC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网络交易第三方平台提供者、药品上市许可持有人、药品经营企业为其他药品网络交易第三方平台提供者、药品上市许可持有人、药品经营企业通过网络销售药品提供信息展示、链接跳转等服务的，应当遵守国务院药品监督管理部门的规定。</w:t>
      </w:r>
    </w:p>
    <w:p w14:paraId="0DDCF56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疫苗、血液制品、麻醉药品、精神药品、医疗用毒性药品、放射性药品、药品类易制毒化学品等国家实行特殊管理的药品不得通过网络销售；其他用药风险较高的药品，不得通过网络零售。具体目录由国务院药品监督管理部门制定。</w:t>
      </w:r>
    </w:p>
    <w:p w14:paraId="346A679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对医疗机构提出的因临床急需进口少量药品的申请，国务院药品监督管理部门应当征求国务院卫生健康主管部门的意见，及时进行审查并作出决定。国务院授权省级人民政府实施审批的，被授权的省级人民政府应当结合当地实际制定具体审批办法。</w:t>
      </w:r>
    </w:p>
    <w:p w14:paraId="6956002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个人携带、邮寄少量药品进境的，应当以合理自用数量为限，遵守国家关于个人物品进境管理的规定。</w:t>
      </w:r>
    </w:p>
    <w:p w14:paraId="3041DBCF">
      <w:pPr>
        <w:pStyle w:val="3"/>
        <w:bidi w:val="0"/>
      </w:pPr>
      <w:r>
        <w:t>第六章　医疗机构药事管理</w:t>
      </w:r>
    </w:p>
    <w:p w14:paraId="4F00C1B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医疗机构应当制定并实施药品进货检查验收、保管、使用等管理制度，设立相应的管理部门或者指定人员负责药品质量管理工作。</w:t>
      </w:r>
    </w:p>
    <w:p w14:paraId="344E82A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医疗机构应当加强对处方开具、审核和调配的管理，提高医师合理用药水平。</w:t>
      </w:r>
    </w:p>
    <w:p w14:paraId="1A1BB4D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医师在网络诊疗活动中不得开具本条例第四十六条规定的药品的处方。</w:t>
      </w:r>
    </w:p>
    <w:p w14:paraId="365B533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医疗机构应当向患者提供符合国务院卫生健康主管部门规定的处方，患者可以选择凭处方向药品零售企业购买药品。</w:t>
      </w:r>
    </w:p>
    <w:p w14:paraId="7474CD5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鼓励通过信息化手段实现医疗机构和药品零售企业之间的处方流转。</w:t>
      </w:r>
    </w:p>
    <w:p w14:paraId="3AA89BE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对正在开展临床试验的用于治疗严重危及生命且尚无有效治疗手段的疾病的药物，经医学观察可能获益，并且符合伦理原则的，经伦理委员会审查同意、患者或者其监护人签署知情同意书后，可以在开展临床试验的机构内用于其他病情相同但无法参加临床试验的患者。</w:t>
      </w:r>
    </w:p>
    <w:p w14:paraId="513A2BE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医疗机构配制制剂，应当向所在地省级人民政府药品监督管理部门提出申请，提交证明其符合药品管理法第七十五条第一款规定条件的资料。省级人民政府药品监督管理部门应当组织开展审查，并自受理申请之日起30个工作日内作出决定。对符合规定条件的，准予许可并发给医疗机构制剂许可证；对不符合规定条件的，不予许可并书面说明理由。</w:t>
      </w:r>
    </w:p>
    <w:p w14:paraId="315FBE6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医疗机构变更医疗机构制剂许可证许可事项的，应当向原发证部门提出申请。原发证部门应当自受理申请之日起15个工作日内进行审查并作出决定。</w:t>
      </w:r>
    </w:p>
    <w:p w14:paraId="05B59C1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医疗机构制剂许可证有效期为5年。有效期届满，需要继续配制制剂的，应当申请重新核发医疗机构制剂许可证。</w:t>
      </w:r>
    </w:p>
    <w:p w14:paraId="0247FFA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医疗机构应当向所在地省级人民政府药品监督管理部门报送拟配制制剂的数据、资料和样品，经审评审批取得医疗机构制剂注册证书后，方可配制；但是，仅应用传统工艺配制的中药制剂，医疗机构向所在地省级人民政府药品监督管理部门备案后即可配制。</w:t>
      </w:r>
    </w:p>
    <w:p w14:paraId="232F6D3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省级人民政府药品监督管理部门审批医疗机构制剂注册申请时，对制剂的质量标准、配制工艺、标签和说明书一并核准。</w:t>
      </w:r>
    </w:p>
    <w:p w14:paraId="35FEB1A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医疗机构制剂注册证书有效期为3年。有效期届满，需要继续配制的，应当申请再注册。</w:t>
      </w:r>
    </w:p>
    <w:p w14:paraId="0D56000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临床确有需要的儿童用药品，市场上没有供应或者没有供儿童使用的剂型、规格的，由国务院卫生健康主管部门会同国务院药品监督管理部门纳入儿童常用医疗机构制剂清单，支持医疗机构配制、使用，满足儿童患者临床用药需求。</w:t>
      </w:r>
    </w:p>
    <w:p w14:paraId="365EE65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下列药品不得作为医疗机构制剂：</w:t>
      </w:r>
    </w:p>
    <w:p w14:paraId="23FD42D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(一)含有尚未用于已注册药品的活性成份的化学药；</w:t>
      </w:r>
    </w:p>
    <w:p w14:paraId="586B24C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(二)已注册药品的活性成份用于新适应症的化学药；</w:t>
      </w:r>
    </w:p>
    <w:p w14:paraId="12D9DCB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(三)中药和化学药组成的复方制剂；</w:t>
      </w:r>
    </w:p>
    <w:p w14:paraId="3B86D0B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(四)中药注射剂；</w:t>
      </w:r>
    </w:p>
    <w:p w14:paraId="7590718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(五)医疗用毒性药品；</w:t>
      </w:r>
    </w:p>
    <w:p w14:paraId="28D6743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(六)除变态反应原以外的生物制品；</w:t>
      </w:r>
    </w:p>
    <w:p w14:paraId="6DEF74E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(七)国务院药品监督管理部门规定的其他药品。</w:t>
      </w:r>
    </w:p>
    <w:p w14:paraId="34DDDF5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医疗机构配制制剂，应当遵守医疗机构制剂配制质量管理规范，建立健全制剂配制质量管理体系，保证制剂配制全过程持续符合法定要求。医疗机构制剂配制质量管理规范由国务院药品监督管理部门制定。</w:t>
      </w:r>
    </w:p>
    <w:p w14:paraId="136C073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医疗机构的法定代表人、主要负责人对本医疗机构的制剂配制活动全面负责。</w:t>
      </w:r>
    </w:p>
    <w:p w14:paraId="6C16B39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医疗机构制剂只能凭医师处方在本医疗机构使用，不得在市场上销售或者变相销售，不得发布医疗机构制剂广告。</w:t>
      </w:r>
    </w:p>
    <w:p w14:paraId="0764E9A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灾情、疫情以及其他突发事件或者临床急需而市场上没有供应时，经省级人民政府药品监督管理部门批准，在规定期限内，医疗机构制剂可以在指定的医疗机构之间调剂使用；但是，调剂使用国务院药品监督管理部门规定的特殊医疗机构制剂以及跨省级行政区域调剂使用医疗机构制剂的，应当经国务院药品监督管理部门批准。省级以上人民政府药品监督管理部门应当自受理申请之日起5个工作日内进行审查并作出决定。</w:t>
      </w:r>
    </w:p>
    <w:p w14:paraId="63ABAB9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医疗机构发现疑似药品不良反应，应当按照规定及时报告药品监督管理部门和卫生健康主管部门。</w:t>
      </w:r>
    </w:p>
    <w:p w14:paraId="315B775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发现疑似药品不良反应聚集性事件，应当及时对患者进行救治、采取措施控制风险，并按照规定及时报告药品监督管理部门和卫生健康主管部门。药品监督管理部门和卫生健康主管部门接到报告后，应当及时调查处理。</w:t>
      </w:r>
    </w:p>
    <w:p w14:paraId="37A6531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医疗机构发现购</w:t>
      </w:r>
      <w:bookmarkStart w:id="0" w:name="_GoBack"/>
      <w:r>
        <w:rPr>
          <w:rFonts w:hint="eastAsia" w:ascii="仿宋_GB2312" w:hAnsi="仿宋_GB2312" w:eastAsia="仿宋_GB2312" w:cs="仿宋_GB2312"/>
          <w:spacing w:val="6"/>
          <w:sz w:val="32"/>
          <w:szCs w:val="32"/>
        </w:rPr>
        <w:t>进、使用的药品存在质量问题，应当立即采取措施控制风险，及时告知供货单位和药品上市许可持有人，并向所在地县级人民政府药</w:t>
      </w:r>
      <w:bookmarkEnd w:id="0"/>
      <w:r>
        <w:rPr>
          <w:rFonts w:hint="eastAsia" w:ascii="仿宋_GB2312" w:hAnsi="仿宋_GB2312" w:eastAsia="仿宋_GB2312" w:cs="仿宋_GB2312"/>
          <w:sz w:val="32"/>
          <w:szCs w:val="32"/>
        </w:rPr>
        <w:t>品监督管理部门报告。</w:t>
      </w:r>
    </w:p>
    <w:p w14:paraId="2F05739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药品上市许可持有人、供货单位应当提供或者公布电子邮件地址、电话、传真等，方便医疗机构告知相关信息。</w:t>
      </w:r>
    </w:p>
    <w:p w14:paraId="25751F1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药品监督管理部门和卫生健康主管部门依据各自职责，分别对药品使用环节的药品质量和药品使用行为进行监督管理。</w:t>
      </w:r>
    </w:p>
    <w:p w14:paraId="118B5A4B">
      <w:pPr>
        <w:pStyle w:val="3"/>
        <w:bidi w:val="0"/>
      </w:pPr>
      <w:r>
        <w:t>第七章　监 督 管 理</w:t>
      </w:r>
    </w:p>
    <w:p w14:paraId="110F203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药品监督管理部门实施监督检查，可以采取下列措施：</w:t>
      </w:r>
    </w:p>
    <w:p w14:paraId="2C41E3C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(一)进入药品研制、生产、经营、使用等活动场所以及为药品研制、生产、经营、使用提供相关产品或者服务的场所，实施现场检查、抽取样品；</w:t>
      </w:r>
    </w:p>
    <w:p w14:paraId="15975CC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(二)查阅、复制有关文件、记录、票据、凭证、电子数据等资料，对可能被转移、隐匿或者损毁的资料予以查封、扣押；</w:t>
      </w:r>
    </w:p>
    <w:p w14:paraId="56CE2D9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(三)查封、扣押有证据证明可能危害人体健康的药品及其有关原料、辅料、直接接触药品的包装材料和容器；</w:t>
      </w:r>
    </w:p>
    <w:p w14:paraId="2AA60E5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(四)查封、扣押有证据证明可能用于违法活动的工具、设施设备、场所。</w:t>
      </w:r>
    </w:p>
    <w:p w14:paraId="515354D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药品监督管理部门进行监督检查时，执法人员不得少于两人，并应当出示执法证件。有关单位和个人对监督检查应当予以配合，不得拒绝、阻挠。</w:t>
      </w:r>
    </w:p>
    <w:p w14:paraId="7CF70D6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国务院药品监督管理部门应当制定统一的药品追溯标准和规范。药品上市许可持有人、药品生产企业应当按照规定在药品包装上赋予追溯标识。药品上市许可持有人、药品生产企业、药品经营企业和医疗机构应当按照规定提供追溯信息，保证药品可追溯。</w:t>
      </w:r>
    </w:p>
    <w:p w14:paraId="5A4ABCC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国务院药品监督管理部门按照程序设置国家药品专业技术机构。省级人民政府药品监督管理部门可以根据当地药品产业发展情况和监督管理工作需要，按照程序设置地方药品专业技术机构。国家药品专业技术机构应当加强对地方药品专业技术机构的技术指导。</w:t>
      </w:r>
    </w:p>
    <w:p w14:paraId="6FF524D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省级以上人民政府药品监督管理部门根据药品监督管理工作需要，可以指定符合条件的机构承担相关专业技术工作。</w:t>
      </w:r>
    </w:p>
    <w:p w14:paraId="2FBC388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药品质量抽查检验应当遵循科学、规范、公正原则。</w:t>
      </w:r>
    </w:p>
    <w:p w14:paraId="7A2A07A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药品监督管理部门应当根据药品监督管理工作需要，制定并实施药品质量抽查检验计划。</w:t>
      </w:r>
    </w:p>
    <w:p w14:paraId="666CF19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质量抽查检验中，药品抽样应当由两名以上抽样人员按照国务院药品监督管理部门的规定实施。被抽样单位应当配合抽样人员进行抽样。被抽样单位没有正当理由不予配合的，药品监督管理部门可以责令被抽样单位暂停销售、使用被抽样药品。</w:t>
      </w:r>
    </w:p>
    <w:p w14:paraId="40332D4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根据药品监督管理工作需要，药品监督管理部门可以对辅料、直接接触药品的包装材料和容器质量进行抽查检验。</w:t>
      </w:r>
    </w:p>
    <w:p w14:paraId="4A28AC1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当事人对药品检验机构的检验结果有异议的，可以自收到药品检验结果之日起7日内申请复验。</w:t>
      </w:r>
    </w:p>
    <w:p w14:paraId="72E8A0C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申请复验的，应当按照规定向复验机构预先支付复验检验费用。复验检验结论与原检验结论不一致的，复验检验费用由原药品检验机构承担。</w:t>
      </w:r>
    </w:p>
    <w:p w14:paraId="2FDE08B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国家药品标准规定不予复验的检验项目，或者有国务院药品监督管理部门规定的其他不予复验的情形的，不予复验。</w:t>
      </w:r>
    </w:p>
    <w:p w14:paraId="3C97859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省级以上人民政府药品监督管理部门公告的药品质量抽查检验结果应当包括被抽检药品的品名、样品来源、标示的药品上市许可持有人和生产企业或者标示的医疗机构、产品批号、规格、检验机构、检验依据、检验结论、不符合规定项目等内容。药品质量抽查检验结果公告不当的，发布部门应当自确认不当之日起5个工作日内，在原公告范围内予以更正。</w:t>
      </w:r>
    </w:p>
    <w:p w14:paraId="1F53AD2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对可能掺杂、掺假的药品，按照国家药品标准、药品注册标准规定的检验项目和检验方法无法检验的，药品检验机构可以使用国务院药品监督管理部门批准的补充检验项目和检验方法进行检验。使用补充检验项目和检验方法得出的检验结果，可以作为认定药品质量的依据。</w:t>
      </w:r>
    </w:p>
    <w:p w14:paraId="3411890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药品监督管理部门依照药品管理法第九十九条第三款规定采取暂停生产、销售、使用、进口等风险控制措施的，药品上市许可持有人、药品生产企业、药品经营企业、医疗机构应当进行整改，消除安全隐患。药品监督管理部门评估认为符合相关要求的，应当解除已采取的风险控制措施。</w:t>
      </w:r>
    </w:p>
    <w:p w14:paraId="1B3403C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在省级以上人民政府药品监督管理部门采取前款规定的风险控制措施期间，不得发布相关药品的广告；已经发布的，应当立即停止。</w:t>
      </w:r>
    </w:p>
    <w:p w14:paraId="2446471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下列情形属于药品管理法第九十八条第二款第二项规定的假药：</w:t>
      </w:r>
    </w:p>
    <w:p w14:paraId="0806147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(一)不具备疾病预防、治疗、诊断功能的物质或者成份不明的物质，在标签、说明书上宣称具有疾病预防、治疗、诊断功能冒充药品的；</w:t>
      </w:r>
    </w:p>
    <w:p w14:paraId="3D73766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(二)使用其他药品的名称或者批准文号，在标签、说明书上标注不具有的适应症或者功能主治的；</w:t>
      </w:r>
    </w:p>
    <w:p w14:paraId="5074487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(三)药品成份与其在标签、说明书上标注的成份不符的；</w:t>
      </w:r>
    </w:p>
    <w:p w14:paraId="3B3FDBC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(四)标注虚假的药品批准文号、药品上市许可持有人的；</w:t>
      </w:r>
    </w:p>
    <w:p w14:paraId="7E843F9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(五)其他以非药品冒充药品或者以他种药品冒充此种药品的情形。</w:t>
      </w:r>
    </w:p>
    <w:p w14:paraId="6FFEA19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依照药品管理法第九十八条第二款第四项规定认定假药，以及依照药品管理法第九十八条第三款第三项至第五项规定认定劣药，不需要进行药品检验。依照药品管理法第九十八条第二款、第三款的其他规定认定假药或者劣药，应当进行药品检验；但是，原料、辅料的采购和使用记录等证据能够充分证明属于假药或者劣药的，可以不进行药品检验。</w:t>
      </w:r>
    </w:p>
    <w:p w14:paraId="03055A4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发生药品安全事件的单位应当立即采取措施防止危害扩大，并立即报告事件发生地县级人民政府药品监督管理部门。</w:t>
      </w:r>
    </w:p>
    <w:p w14:paraId="465F90B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医疗机构发现发生药品安全事件，应当立即报告事件发生地县级人民政府药品监督管理部门和卫生健康主管部门。</w:t>
      </w:r>
    </w:p>
    <w:p w14:paraId="6B9B77E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药品监督管理部门接到报告后，应当按照规定立即报告本级人民政府、上级人民政府药品监督管理部门。</w:t>
      </w:r>
    </w:p>
    <w:p w14:paraId="56766DB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县级以上人民政府应当按照药品安全事件应急预案，组织开展应对工作。</w:t>
      </w:r>
    </w:p>
    <w:p w14:paraId="3493CA8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国家加强药品储备，实行中央和地方两级储备。具体办法由国务院工业和信息化主管部门会同国务院有关部门制定。</w:t>
      </w:r>
    </w:p>
    <w:p w14:paraId="0AD5FAD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国务院卫生健康主管部门会同国务院有关部门制定国家药物政策和国家基本药物制度，完善国家基本药物目录管理机制。</w:t>
      </w:r>
    </w:p>
    <w:p w14:paraId="5383234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市场监督管理部门加强药品生产、经营中的反垄断和反不正当竞争监督管理，依法查处垄断、不正当竞争违法行为，维护公平竞争秩序。</w:t>
      </w:r>
    </w:p>
    <w:p w14:paraId="7936C64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药品监督管理等部门在监督管理中发现公职人员涉嫌职务违法或者职务犯罪的问题线索，应当及时移送监察机关。</w:t>
      </w:r>
    </w:p>
    <w:p w14:paraId="1EAC75D1">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　</w:t>
      </w:r>
      <w:r>
        <w:rPr>
          <w:rFonts w:hint="eastAsia" w:ascii="仿宋_GB2312" w:hAnsi="仿宋_GB2312" w:eastAsia="仿宋_GB2312" w:cs="仿宋_GB2312"/>
          <w:sz w:val="32"/>
          <w:szCs w:val="32"/>
        </w:rPr>
        <w:t>进行药品注册、实施药品注册检验和强制性检验，可以收取费用。具体收费项目、收费标准分别由国务院财政部门、国务院发展改革部门按照国家有关规定制定。</w:t>
      </w:r>
    </w:p>
    <w:p w14:paraId="10406396">
      <w:pPr>
        <w:pStyle w:val="3"/>
        <w:bidi w:val="0"/>
      </w:pPr>
      <w:r>
        <w:t>第八章　法 律 责 任</w:t>
      </w:r>
    </w:p>
    <w:p w14:paraId="2C16683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第七十九条　</w:t>
      </w:r>
      <w:r>
        <w:rPr>
          <w:rFonts w:hint="eastAsia" w:ascii="仿宋_GB2312" w:hAnsi="仿宋_GB2312" w:eastAsia="仿宋_GB2312" w:cs="仿宋_GB2312"/>
          <w:sz w:val="32"/>
          <w:szCs w:val="32"/>
        </w:rPr>
        <w:t>有下列情形之一的，由县级以上地方人民政府药品监督管理部门责令限期改正，没收违法生产、销售的药品和违法所得，并处违法生产、销售的药品货值金额10倍以上20倍以下的罚款，违法生产、批发的药品货值金额不足10万元的，按10万元计算，违法零售的药品货值金额不足1万元的，按1万元计算；情节严重的，还应当责令停产停业整顿直至由原发证部门吊销药品生产许可证、药品经营许可证：</w:t>
      </w:r>
    </w:p>
    <w:p w14:paraId="57553DF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(一)药品上市许可持有人违反本条例第三十六条规定销售取得药品批准证明文件前生产的商业规模批次产品；</w:t>
      </w:r>
    </w:p>
    <w:p w14:paraId="349B64D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(二)中药饮片生产企业委托炮制中药饮片或者中药配方颗粒生产企业委托生产中药配方颗粒；</w:t>
      </w:r>
    </w:p>
    <w:p w14:paraId="1A28420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(三)药品经营企业经营中药配方颗粒、医疗机构制剂；</w:t>
      </w:r>
    </w:p>
    <w:p w14:paraId="703DA3F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(四)违反本条例第四十六条规定通过网络销售药品。</w:t>
      </w:r>
    </w:p>
    <w:p w14:paraId="5B1DEDB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第八十条　</w:t>
      </w:r>
      <w:r>
        <w:rPr>
          <w:rFonts w:hint="eastAsia" w:ascii="仿宋_GB2312" w:hAnsi="仿宋_GB2312" w:eastAsia="仿宋_GB2312" w:cs="仿宋_GB2312"/>
          <w:sz w:val="32"/>
          <w:szCs w:val="32"/>
        </w:rPr>
        <w:t>有下列情形之一的，由省级人民政府药品监督管理部门责令限期改正，给予警告；逾期不改正的，处10万元以上50万元以下的罚款：</w:t>
      </w:r>
    </w:p>
    <w:p w14:paraId="0A2A8F1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(一)中药饮片生产企业、中药配方颗粒生产企业跨省级行政区域销售中药饮片、中药配方颗粒未依照本条例第三十九条第三款、第四十条第四款规定备案；</w:t>
      </w:r>
    </w:p>
    <w:p w14:paraId="58F4CC4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(二)中药配方颗粒生产企业生产中药配方颗粒未依照本条例第四十条第一款规定备案。</w:t>
      </w:r>
    </w:p>
    <w:p w14:paraId="4E0C71A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第八十一条　</w:t>
      </w:r>
      <w:r>
        <w:rPr>
          <w:rFonts w:hint="eastAsia" w:ascii="仿宋_GB2312" w:hAnsi="仿宋_GB2312" w:eastAsia="仿宋_GB2312" w:cs="仿宋_GB2312"/>
          <w:sz w:val="32"/>
          <w:szCs w:val="32"/>
        </w:rPr>
        <w:t>医疗机构未经批准使用其他医疗机构配制的制剂的，依照药品管理法第一百二十九条、第一百三十九条规定予以处罚。</w:t>
      </w:r>
    </w:p>
    <w:p w14:paraId="47A531C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医疗机构有下列情形之一的，由县级以上地方人民政府药品监督管理部门责令限期改正；逾期不改正的，处1万元以上10万元以下的罚款：</w:t>
      </w:r>
    </w:p>
    <w:p w14:paraId="4727DD6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(一)未按照规定制定并实施药品进货检查验收、保管、使用等管理制度；</w:t>
      </w:r>
    </w:p>
    <w:p w14:paraId="3EBBAAC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(二)发现购进、使用的药品存在质量问题，未按照规定采取措施或者报告。</w:t>
      </w:r>
    </w:p>
    <w:p w14:paraId="6DFB684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第八十二条　</w:t>
      </w:r>
      <w:r>
        <w:rPr>
          <w:rFonts w:hint="eastAsia" w:ascii="仿宋_GB2312" w:hAnsi="仿宋_GB2312" w:eastAsia="仿宋_GB2312" w:cs="仿宋_GB2312"/>
          <w:sz w:val="32"/>
          <w:szCs w:val="32"/>
        </w:rPr>
        <w:t>申请药物非临床安全性评价研究机构资格、药物临床试验许可、药品生产许可、药品经营许可、医疗机构制剂许可、药品注册等许可，提供虚假证明、数据、资料、样品或者采取其他欺骗手段的，县级以上人民政府药品监督管理部门不予受理或者不予许可，10年内不受理其相应申请，并处50万元以上500万元以下的罚款；情节严重的，还应当对法定代表人、主要负责人、直接负责的主管人员和其他责任人员处2万元以上20万元以下的罚款，禁止其10年内从事药品生产经营活动。</w:t>
      </w:r>
    </w:p>
    <w:p w14:paraId="22B1BA8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提交的虚假证明、数据、资料、样品是药物非临床安全性评价研究机构、药物临床试验机构或者其他接受委托开展药品研制相关活动的机构伪造或者编造的，由省级以上人民政府药品监督管理部门依照药品管理法第一百二十六条规定对药物非临床安全性评价研究机构、药物临床试验机构或者其他接受委托开展药品研制相关活动的机构予以处罚。</w:t>
      </w:r>
    </w:p>
    <w:p w14:paraId="34D4B7D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第八十三条　</w:t>
      </w:r>
      <w:r>
        <w:rPr>
          <w:rFonts w:hint="eastAsia" w:ascii="仿宋_GB2312" w:hAnsi="仿宋_GB2312" w:eastAsia="仿宋_GB2312" w:cs="仿宋_GB2312"/>
          <w:sz w:val="32"/>
          <w:szCs w:val="32"/>
        </w:rPr>
        <w:t>已办理备案的药物临床试验机构不符合备案条件的，由省级以上人民政府药品监督管理部门责令限期改正；逾期仍不符合备案条件的，取消相关药物临床试验专业备案或者药物临床试验机构备案，禁止其1年内开展相关专业药物临床试验或者禁止其1年内开展药物临床试验。</w:t>
      </w:r>
    </w:p>
    <w:p w14:paraId="1E5D5B8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理药物临床试验机构备案时提供虚假证明的，由省级以上人民政府药品监督管理部门取消相关药物临床试验专业备案或者药物临床试验机构备案，禁止其3年内开展相关专业药物临床试验或者禁止其3年内开展药物临床试验，没收违法所得，并处10万元以上50万元以下的罚款，相关临床试验数据不得用于申请药品注册。</w:t>
      </w:r>
    </w:p>
    <w:p w14:paraId="00B0101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第八十四条　</w:t>
      </w:r>
      <w:r>
        <w:rPr>
          <w:rFonts w:hint="eastAsia" w:ascii="仿宋_GB2312" w:hAnsi="仿宋_GB2312" w:eastAsia="仿宋_GB2312" w:cs="仿宋_GB2312"/>
          <w:sz w:val="32"/>
          <w:szCs w:val="32"/>
        </w:rPr>
        <w:t>药品网络交易第三方平台提供者未按照规定建立健全药品网络销售质量管理体系的，由省级人民政府药品监督管理部门责令限期改正，给予警告；逾期不改正的，处10万元以上50万元以下的罚款；情节严重的，处50万元以上200万元以下的罚款。</w:t>
      </w:r>
    </w:p>
    <w:p w14:paraId="0A545A5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药品网络交易第三方平台提供者、药品上市许可持有人、药品经营企业为其他药品网络交易第三方平台提供者、药品上市许可持有人、药品经营企业通过网络销售药品提供信息展示、链接跳转等服务，违反国务院药品监督管理部门规定的，由省级人民政府药品监督管理部门责令限期改正，给予警告；逾期不改正的，没收违法所得，并处10万元以上50万元以下的罚款；情节严重的，没收违法所得，并处50万元以上200万元以下的罚款。</w:t>
      </w:r>
    </w:p>
    <w:p w14:paraId="5EA6043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第八十五条　</w:t>
      </w:r>
      <w:r>
        <w:rPr>
          <w:rFonts w:hint="eastAsia" w:ascii="仿宋_GB2312" w:hAnsi="仿宋_GB2312" w:eastAsia="仿宋_GB2312" w:cs="仿宋_GB2312"/>
          <w:sz w:val="32"/>
          <w:szCs w:val="32"/>
        </w:rPr>
        <w:t>拒不执行药品监督管理部门依法采取的暂停生产、销售、使用、进口等风险控制措施的，由县级以上人民政府药品监督管理部门处违法生产、销售、使用、进口药品货值金额5倍以上10倍以下的罚款，货值金额不足1万元的，按1万元计算；情节严重的，还应当责令停产停业整顿直至由原发证部门吊销药品批准证明文件、药品生产许可证、药品经营许可证、医疗机构制剂许可证，对法定代表人、主要负责人、直接负责的主管人员和其他责任人员处2万元以上20万元以下的罚款。</w:t>
      </w:r>
    </w:p>
    <w:p w14:paraId="398A93F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违反药品管理法、疫苗管理法、本条例规定，拒绝、阻挠监督检查的，由县级以上人民政府药品监督管理部门责令限期改正，处5万元以下的罚款；情节严重的，责令停产停业整顿。</w:t>
      </w:r>
    </w:p>
    <w:p w14:paraId="5203FE3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第八十六条　</w:t>
      </w:r>
      <w:r>
        <w:rPr>
          <w:rFonts w:hint="eastAsia" w:ascii="仿宋_GB2312" w:hAnsi="仿宋_GB2312" w:eastAsia="仿宋_GB2312" w:cs="仿宋_GB2312"/>
          <w:sz w:val="32"/>
          <w:szCs w:val="32"/>
        </w:rPr>
        <w:t>药品经营企业、医疗机构履行了药品管理法、疫苗管理法、本条例规定的进货检查验收等义务，有充分证据证明其不知道所销售或者使用的药品是假药、劣药的，免予处罚，但应当收缴其销售或者使用的假药、劣药；造成人身、财产或者其他损害的，依法承担赔偿责任。</w:t>
      </w:r>
    </w:p>
    <w:p w14:paraId="1A575CC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第八十七条　</w:t>
      </w:r>
      <w:r>
        <w:rPr>
          <w:rFonts w:hint="eastAsia" w:ascii="仿宋_GB2312" w:hAnsi="仿宋_GB2312" w:eastAsia="仿宋_GB2312" w:cs="仿宋_GB2312"/>
          <w:sz w:val="32"/>
          <w:szCs w:val="32"/>
        </w:rPr>
        <w:t>药品监督管理部门及其工作人员违反本条例规定，泄露药品上市许可持有人未披露的试验数据或者其他数据，造成药品上市许可持有人损失的，由药品监督管理部门依法承担赔偿责任；药品监督管理部门赔偿损失后，应当责令故意或者有重大过失的工作人员承担部分或者全部赔偿费用，并对负有责任的领导人员和直接责任人员依法给予处分。</w:t>
      </w:r>
    </w:p>
    <w:p w14:paraId="6B65AC86">
      <w:pPr>
        <w:pStyle w:val="3"/>
        <w:bidi w:val="0"/>
      </w:pPr>
      <w:r>
        <w:t>第九章　附　　则</w:t>
      </w:r>
    </w:p>
    <w:p w14:paraId="167AD64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第八十八条　</w:t>
      </w:r>
      <w:r>
        <w:rPr>
          <w:rFonts w:hint="eastAsia" w:ascii="仿宋_GB2312" w:hAnsi="仿宋_GB2312" w:eastAsia="仿宋_GB2312" w:cs="仿宋_GB2312"/>
          <w:sz w:val="32"/>
          <w:szCs w:val="32"/>
        </w:rPr>
        <w:t>药品注册审评所需时间以及药物非临床安全性评价研究机构资格申请、药品生产许可申请、药品经营许可申请、医疗机构制剂许可申请审查中涉及的技术审核所需时间不计入药品监督管理部门实施行政许可的期限。</w:t>
      </w:r>
    </w:p>
    <w:p w14:paraId="12044D7A">
      <w:pPr>
        <w:pStyle w:val="11"/>
        <w:ind w:firstLine="640" w:firstLineChars="200"/>
        <w:rPr>
          <w:rFonts w:hint="eastAsia" w:ascii="楷体_GB2312" w:hAnsi="楷体_GB2312" w:eastAsia="楷体_GB2312" w:cs="楷体_GB2312"/>
          <w:bCs/>
          <w:spacing w:val="11"/>
          <w:kern w:val="2"/>
          <w:sz w:val="32"/>
          <w:szCs w:val="32"/>
          <w:shd w:val="clear" w:color="auto" w:fill="FFFFFF"/>
          <w:lang w:val="en-US" w:eastAsia="zh-CN" w:bidi="ar-SA"/>
        </w:rPr>
      </w:pPr>
      <w:r>
        <w:rPr>
          <w:rFonts w:hint="eastAsia" w:ascii="方正黑体_GBK" w:hAnsi="方正黑体_GBK" w:eastAsia="方正黑体_GBK" w:cs="方正黑体_GBK"/>
          <w:sz w:val="32"/>
          <w:szCs w:val="32"/>
        </w:rPr>
        <w:t>第八十九条　</w:t>
      </w:r>
      <w:r>
        <w:rPr>
          <w:rFonts w:hint="eastAsia" w:ascii="仿宋_GB2312" w:hAnsi="仿宋_GB2312" w:eastAsia="仿宋_GB2312" w:cs="仿宋_GB2312"/>
          <w:sz w:val="32"/>
          <w:szCs w:val="32"/>
        </w:rPr>
        <w:t>本条例自2026年5月15日起施行。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D1DBB"/>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98550F"/>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3062699"/>
    <w:rsid w:val="2460080A"/>
    <w:rsid w:val="24C55E31"/>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0F664D"/>
    <w:rsid w:val="2E1B43B4"/>
    <w:rsid w:val="2ED32E01"/>
    <w:rsid w:val="2F435B16"/>
    <w:rsid w:val="2FF20DF5"/>
    <w:rsid w:val="31230DCD"/>
    <w:rsid w:val="313E5963"/>
    <w:rsid w:val="318138A8"/>
    <w:rsid w:val="31F05688"/>
    <w:rsid w:val="320E2B0A"/>
    <w:rsid w:val="32252208"/>
    <w:rsid w:val="3242780E"/>
    <w:rsid w:val="324B0F32"/>
    <w:rsid w:val="32645497"/>
    <w:rsid w:val="330D4027"/>
    <w:rsid w:val="3330356C"/>
    <w:rsid w:val="33CF5811"/>
    <w:rsid w:val="34031BBE"/>
    <w:rsid w:val="349C60FB"/>
    <w:rsid w:val="34A76774"/>
    <w:rsid w:val="35095248"/>
    <w:rsid w:val="355560D1"/>
    <w:rsid w:val="358244C4"/>
    <w:rsid w:val="36084F32"/>
    <w:rsid w:val="36620060"/>
    <w:rsid w:val="36FD465C"/>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49193C"/>
    <w:rsid w:val="429465D8"/>
    <w:rsid w:val="431B4937"/>
    <w:rsid w:val="434336CE"/>
    <w:rsid w:val="43452348"/>
    <w:rsid w:val="4361706F"/>
    <w:rsid w:val="43CA1521"/>
    <w:rsid w:val="43D46F84"/>
    <w:rsid w:val="444B0E8A"/>
    <w:rsid w:val="45866A2B"/>
    <w:rsid w:val="464E4C2D"/>
    <w:rsid w:val="46D80A88"/>
    <w:rsid w:val="46EE0064"/>
    <w:rsid w:val="47793996"/>
    <w:rsid w:val="47A250A3"/>
    <w:rsid w:val="47F60C0C"/>
    <w:rsid w:val="48AC4D69"/>
    <w:rsid w:val="494B3B16"/>
    <w:rsid w:val="49C224BB"/>
    <w:rsid w:val="4A4F5FBC"/>
    <w:rsid w:val="4A732A37"/>
    <w:rsid w:val="4B2E2D61"/>
    <w:rsid w:val="4CF238AF"/>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820D2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AC1029A"/>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759EC"/>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9C26BD7"/>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7E21F3F"/>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61BD0"/>
    <w:rsid w:val="7CFB06AD"/>
    <w:rsid w:val="7D0E2676"/>
    <w:rsid w:val="7DAE41EC"/>
    <w:rsid w:val="7E0776A9"/>
    <w:rsid w:val="7E2E05BA"/>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3656</Words>
  <Characters>3687</Characters>
  <Lines>69</Lines>
  <Paragraphs>19</Paragraphs>
  <TotalTime>3</TotalTime>
  <ScaleCrop>false</ScaleCrop>
  <LinksUpToDate>false</LinksUpToDate>
  <CharactersWithSpaces>3722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2026-01-27T11:10:12Z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AAC7F7B6F5494A41BADB80700CA67999</vt:lpwstr>
  </property>
  <property fmtid="{D5CDD505-2E9C-101B-9397-08002B2CF9AE}" pid="4" name="KSOTemplateDocerSaveRecord">
    <vt:lpwstr>eyJoZGlkIjoiOTk2NmVkYjNiZGQzMjI3MDg4NzEwNTdjZDg4NjI3NjYiLCJ1c2VySWQiOiI3MDY4OTMwMTcifQ==</vt:lpwstr>
  </property>
</Properties>
</file>