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CDBBD">
      <w:pPr>
        <w:pStyle w:val="10"/>
        <w:jc w:val="center"/>
        <w:rPr>
          <w:rFonts w:hint="eastAsia" w:ascii="仿宋_GB2312" w:hAnsi="仿宋_GB2312" w:eastAsia="仿宋_GB2312" w:cs="仿宋_GB2312"/>
          <w:sz w:val="32"/>
          <w:szCs w:val="32"/>
        </w:rPr>
      </w:pPr>
      <w:r>
        <w:rPr>
          <w:rFonts w:hint="eastAsia" w:ascii="Times New Roman" w:hAnsi="Times New Roman" w:cs="Times New Roman"/>
          <w:sz w:val="44"/>
          <w:szCs w:val="44"/>
        </w:rPr>
        <w:t>住房租赁条例</w:t>
      </w:r>
    </w:p>
    <w:p w14:paraId="13C6B475">
      <w:pPr>
        <w:pStyle w:val="10"/>
        <w:ind w:firstLine="640" w:firstLineChars="200"/>
        <w:jc w:val="center"/>
        <w:rPr>
          <w:rFonts w:hint="eastAsia" w:ascii="仿宋_GB2312" w:hAnsi="仿宋_GB2312" w:eastAsia="仿宋_GB2312" w:cs="仿宋_GB2312"/>
          <w:sz w:val="32"/>
          <w:szCs w:val="32"/>
        </w:rPr>
      </w:pPr>
    </w:p>
    <w:p w14:paraId="3648EB39">
      <w:pPr>
        <w:pStyle w:val="10"/>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(202</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6</w:t>
      </w:r>
      <w:r>
        <w:rPr>
          <w:rFonts w:hint="eastAsia" w:ascii="楷体_GB2312" w:hAnsi="楷体_GB2312" w:eastAsia="楷体_GB2312" w:cs="楷体_GB2312"/>
          <w:sz w:val="32"/>
          <w:szCs w:val="32"/>
        </w:rPr>
        <w:t>月2</w:t>
      </w:r>
      <w:r>
        <w:rPr>
          <w:rFonts w:hint="eastAsia" w:ascii="楷体_GB2312" w:hAnsi="楷体_GB2312" w:eastAsia="楷体_GB2312" w:cs="楷体_GB2312"/>
          <w:sz w:val="32"/>
          <w:szCs w:val="32"/>
          <w:lang w:val="en-US" w:eastAsia="zh-CN"/>
        </w:rPr>
        <w:t>7</w:t>
      </w:r>
      <w:r>
        <w:rPr>
          <w:rFonts w:hint="eastAsia" w:ascii="楷体_GB2312" w:hAnsi="楷体_GB2312" w:eastAsia="楷体_GB2312" w:cs="楷体_GB2312"/>
          <w:sz w:val="32"/>
          <w:szCs w:val="32"/>
        </w:rPr>
        <w:t>日国务院第</w:t>
      </w:r>
      <w:r>
        <w:rPr>
          <w:rFonts w:hint="eastAsia" w:ascii="楷体_GB2312" w:hAnsi="楷体_GB2312" w:eastAsia="楷体_GB2312" w:cs="楷体_GB2312"/>
          <w:sz w:val="32"/>
          <w:szCs w:val="32"/>
          <w:lang w:val="en-US" w:eastAsia="zh-CN"/>
        </w:rPr>
        <w:t>62</w:t>
      </w:r>
      <w:r>
        <w:rPr>
          <w:rFonts w:hint="eastAsia" w:ascii="楷体_GB2312" w:hAnsi="楷体_GB2312" w:eastAsia="楷体_GB2312" w:cs="楷体_GB2312"/>
          <w:sz w:val="32"/>
          <w:szCs w:val="32"/>
        </w:rPr>
        <w:t>次常</w:t>
      </w:r>
      <w:bookmarkStart w:id="0" w:name="_GoBack"/>
      <w:bookmarkEnd w:id="0"/>
      <w:r>
        <w:rPr>
          <w:rFonts w:hint="eastAsia" w:ascii="楷体_GB2312" w:hAnsi="楷体_GB2312" w:eastAsia="楷体_GB2312" w:cs="楷体_GB2312"/>
          <w:sz w:val="32"/>
          <w:szCs w:val="32"/>
        </w:rPr>
        <w:t>务会议通过　202</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年</w:t>
      </w:r>
      <w:r>
        <w:rPr>
          <w:rFonts w:hint="eastAsia" w:ascii="楷体_GB2312" w:hAnsi="楷体_GB2312" w:eastAsia="楷体_GB2312" w:cs="楷体_GB2312"/>
          <w:sz w:val="32"/>
          <w:szCs w:val="32"/>
          <w:lang w:val="en-US" w:eastAsia="zh-CN"/>
        </w:rPr>
        <w:t>7</w:t>
      </w:r>
      <w:r>
        <w:rPr>
          <w:rFonts w:hint="eastAsia" w:ascii="楷体_GB2312" w:hAnsi="楷体_GB2312" w:eastAsia="楷体_GB2312" w:cs="楷体_GB2312"/>
          <w:sz w:val="32"/>
          <w:szCs w:val="32"/>
        </w:rPr>
        <w:t>月</w:t>
      </w:r>
      <w:r>
        <w:rPr>
          <w:rFonts w:hint="eastAsia" w:ascii="楷体_GB2312" w:hAnsi="楷体_GB2312" w:eastAsia="楷体_GB2312" w:cs="楷体_GB2312"/>
          <w:sz w:val="32"/>
          <w:szCs w:val="32"/>
          <w:lang w:val="en-US" w:eastAsia="zh-CN"/>
        </w:rPr>
        <w:t>16</w:t>
      </w:r>
      <w:r>
        <w:rPr>
          <w:rFonts w:hint="eastAsia" w:ascii="楷体_GB2312" w:hAnsi="楷体_GB2312" w:eastAsia="楷体_GB2312" w:cs="楷体_GB2312"/>
          <w:sz w:val="32"/>
          <w:szCs w:val="32"/>
        </w:rPr>
        <w:t>日中华人民共和国国务院令</w:t>
      </w:r>
      <w:r>
        <w:rPr>
          <w:rFonts w:hint="eastAsia" w:ascii="楷体_GB2312" w:hAnsi="楷体_GB2312" w:eastAsia="楷体_GB2312" w:cs="楷体_GB2312"/>
          <w:sz w:val="32"/>
          <w:szCs w:val="32"/>
          <w:lang w:val="en-US" w:eastAsia="zh-CN"/>
        </w:rPr>
        <w:t>第812号公布</w:t>
      </w:r>
      <w:r>
        <w:rPr>
          <w:rFonts w:hint="eastAsia" w:ascii="楷体_GB2312" w:hAnsi="楷体_GB2312" w:eastAsia="楷体_GB2312" w:cs="楷体_GB2312"/>
          <w:sz w:val="32"/>
          <w:szCs w:val="32"/>
        </w:rPr>
        <w:t>　自2025年</w:t>
      </w:r>
      <w:r>
        <w:rPr>
          <w:rFonts w:hint="eastAsia" w:ascii="楷体_GB2312" w:hAnsi="楷体_GB2312" w:eastAsia="楷体_GB2312" w:cs="楷体_GB2312"/>
          <w:sz w:val="32"/>
          <w:szCs w:val="32"/>
          <w:lang w:val="en-US" w:eastAsia="zh-CN"/>
        </w:rPr>
        <w:t>9</w:t>
      </w:r>
      <w:r>
        <w:rPr>
          <w:rFonts w:hint="eastAsia" w:ascii="楷体_GB2312" w:hAnsi="楷体_GB2312" w:eastAsia="楷体_GB2312" w:cs="楷体_GB2312"/>
          <w:sz w:val="32"/>
          <w:szCs w:val="32"/>
        </w:rPr>
        <w:t>月15日起施行)</w:t>
      </w:r>
    </w:p>
    <w:p w14:paraId="6EC0E882">
      <w:pPr>
        <w:pStyle w:val="3"/>
      </w:pPr>
      <w:r>
        <w:rPr>
          <w:rFonts w:ascii="Times New Roman" w:hAnsi="Times New Roman" w:cs="Times New Roman"/>
        </w:rPr>
        <w:t>第一章　总　　则</w:t>
      </w:r>
    </w:p>
    <w:p w14:paraId="14DFB7E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为了规范住房租赁活动，维护住房租赁活动当事人合法权益，稳定住房租赁关系，促进住房租赁市场高质量发展，推动加快建立租购并举的住房制度，制定本条例。</w:t>
      </w:r>
    </w:p>
    <w:p w14:paraId="5260F63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城镇国有土地上住房租赁活动及其监督管理，适用本条例。</w:t>
      </w:r>
    </w:p>
    <w:p w14:paraId="061858C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住房租赁市场发展应当贯彻党和国家路线方针政策、决策部署，坚持市场主导与政府引导相结合。</w:t>
      </w:r>
    </w:p>
    <w:p w14:paraId="24BABC8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国务院住房城乡建设主管部门负责全国住房租赁活动的监督管理工作。</w:t>
      </w:r>
    </w:p>
    <w:p w14:paraId="04E049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县级以上地方人民政府房产管理部门负责本行政区域内住房租赁活动的监督管理工作。</w:t>
      </w:r>
    </w:p>
    <w:p w14:paraId="2031C7C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县级以上人民政府市场监督管理、公安等部门依照本条例和其他有关法律、法规的规定，在各自的职责范围内负责住房租赁活动的监督管理工作。</w:t>
      </w:r>
    </w:p>
    <w:p w14:paraId="5A62C06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国家鼓励居民家庭将自有房源用于租赁，支持企业盘活改造老旧厂房、商业办公用房、自持商品住房等用于租赁，多渠道增加租赁住房供给。</w:t>
      </w:r>
    </w:p>
    <w:p w14:paraId="7BD8888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国家鼓励出租人和承租人依法建立稳定的住房租赁关系，推动租购住房在享受公共服务上具有同等权利。</w:t>
      </w:r>
    </w:p>
    <w:p w14:paraId="31129B0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从事住房租赁活动，应当遵守法律、法规，遵循平等、自愿、公平、诚信原则，不得危害国家安全、损害公共利益和他人合法权益，不得违背公序良俗。</w:t>
      </w:r>
    </w:p>
    <w:p w14:paraId="60319362">
      <w:pPr>
        <w:pStyle w:val="3"/>
        <w:rPr>
          <w:sz w:val="32"/>
          <w:szCs w:val="32"/>
        </w:rPr>
      </w:pPr>
      <w:r>
        <w:rPr>
          <w:rFonts w:ascii="Times New Roman" w:hAnsi="Times New Roman" w:cs="Times New Roman"/>
          <w:sz w:val="32"/>
          <w:szCs w:val="32"/>
        </w:rPr>
        <w:t>第二章　出租与承租</w:t>
      </w:r>
    </w:p>
    <w:p w14:paraId="2F56D67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用于出租的住房应当符合建筑、消防、燃气、室内装饰装修等方面的法律、法规、规章和强制性标准，不得危及人身安全和健康。</w:t>
      </w:r>
    </w:p>
    <w:p w14:paraId="7FBED6C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厨房、卫生间、阳台、过道、地下储藏室、车库等非居住空间，不得单独出租用于居住。</w:t>
      </w:r>
    </w:p>
    <w:p w14:paraId="139628F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租赁住房单间租住人数上限和人均最低租住面积，应当符合设区的市级以上地方人民政府规定的标准。</w:t>
      </w:r>
    </w:p>
    <w:p w14:paraId="1B31759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出租人和承租人应当使用实名签订住房租赁合同。</w:t>
      </w:r>
    </w:p>
    <w:p w14:paraId="218742E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出租人应当按照规定，通过住房租赁管理服务平台等方式将住房租赁合同向租赁住房所在地房产管理部门备案。房产管理部门应当提高住房租赁合同备案服务水平，不得就住房租赁合同备案收取任何费用。</w:t>
      </w:r>
    </w:p>
    <w:p w14:paraId="5357020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出租人未办理住房租赁合同备案的，承租人可以办理备案。</w:t>
      </w:r>
    </w:p>
    <w:p w14:paraId="1AB61D9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出租人应当遵守下列规定：</w:t>
      </w:r>
    </w:p>
    <w:p w14:paraId="7DF0CE4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(一)向承租人出示身份证明材料、拟出租住房的不动产权属证书或者其他证明其具有合法出租权利的材料，并配合承租人依法查询、核实拟出租住房有关信息；</w:t>
      </w:r>
    </w:p>
    <w:p w14:paraId="4A6E3C0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(二)核验承租人的身份证明材料，不得将住房出租给拒绝出示身份证明材料的单位或者个人；</w:t>
      </w:r>
    </w:p>
    <w:p w14:paraId="6B9FF33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(三)不得擅自进入租赁住房，但是经承租人同意或者依法可以进入的除外。</w:t>
      </w:r>
    </w:p>
    <w:p w14:paraId="5402292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出租人收取押金的，应当在住房租赁合同中约定押金的数额、返还时间以及扣减押金的情形等事项。除住房租赁合同约定的情形以外，出租人无正当理由不得扣减押金。</w:t>
      </w:r>
    </w:p>
    <w:p w14:paraId="03776FF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承租人应当遵守下列规定：</w:t>
      </w:r>
    </w:p>
    <w:p w14:paraId="202D736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(一)向出租人出示身份证明材料；</w:t>
      </w:r>
    </w:p>
    <w:p w14:paraId="110BBA1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(二)安全、合理使用租赁住房，不得损坏、擅自拆除、停用消防设施或者改动租赁住房承重结构，不得私拉乱接水、电、燃气管线；</w:t>
      </w:r>
    </w:p>
    <w:p w14:paraId="19222A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(三)未经出租人同意，不得擅自改变租赁住房用途、拆改室内设施或者改动租赁住房其他结构；</w:t>
      </w:r>
    </w:p>
    <w:p w14:paraId="01D9E4F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(四)遵守物业管理规约，不得任意弃置垃圾、超标准排放污染物或者产生噪声、违反规定饲养动物、违章搭建、侵占公共通道、高空抛物或者实施其他损害他人合法权益的行为；</w:t>
      </w:r>
    </w:p>
    <w:p w14:paraId="6984341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(五)对出租人依法确需进入租赁住房的，予以配合。</w:t>
      </w:r>
    </w:p>
    <w:p w14:paraId="3AC043D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出租人依法解除住房租赁合同的，应当通知承租人，并为承租人腾退租赁住房留出合理时间。</w:t>
      </w:r>
    </w:p>
    <w:p w14:paraId="3A26DD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出租人不得采取暴力、威胁或者其他非法方式迫使承租人解除住房租赁合同或者腾退租赁住房。</w:t>
      </w:r>
    </w:p>
    <w:p w14:paraId="46EAAD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住房租赁合同连续履行达到规定期限的，出租人按照有关规定享受相应的政策支持，承租人按照有关规定享受相应的基本公共服务。</w:t>
      </w:r>
    </w:p>
    <w:p w14:paraId="70372C4F">
      <w:pPr>
        <w:pStyle w:val="3"/>
        <w:rPr>
          <w:sz w:val="32"/>
          <w:szCs w:val="32"/>
        </w:rPr>
      </w:pPr>
      <w:r>
        <w:rPr>
          <w:rFonts w:ascii="Times New Roman" w:hAnsi="Times New Roman" w:cs="Times New Roman"/>
          <w:sz w:val="32"/>
          <w:szCs w:val="32"/>
        </w:rPr>
        <w:t>第三章　住房租赁企业</w:t>
      </w:r>
    </w:p>
    <w:p w14:paraId="744827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国家完善政策措施，培育市场化、专业化的住房租赁企业。</w:t>
      </w:r>
    </w:p>
    <w:p w14:paraId="1419CA1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住房租赁企业，是指以自有住房或者依法取得经营管理权的他人住房开展住房租赁经营业务的企业。住房租赁企业应当具备与其经营规模相适应的自有资金、从业人员和管理能力。</w:t>
      </w:r>
    </w:p>
    <w:p w14:paraId="4F73274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住房租赁企业出租住房，适用本条例有关出租人的规定。</w:t>
      </w:r>
    </w:p>
    <w:p w14:paraId="47A9470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住房租赁企业依法登记的经营范围应当使用</w:t>
      </w:r>
      <w:r>
        <w:rPr>
          <w:rFonts w:hAnsi="宋体" w:cs="Times New Roman"/>
          <w:sz w:val="32"/>
          <w:szCs w:val="32"/>
        </w:rPr>
        <w:t>“</w:t>
      </w:r>
      <w:r>
        <w:rPr>
          <w:rFonts w:hint="eastAsia" w:ascii="仿宋_GB2312" w:hAnsi="仿宋_GB2312" w:eastAsia="仿宋_GB2312" w:cs="仿宋_GB2312"/>
          <w:sz w:val="32"/>
          <w:szCs w:val="32"/>
        </w:rPr>
        <w:t>住房租赁</w:t>
      </w:r>
      <w:r>
        <w:rPr>
          <w:rFonts w:hAnsi="宋体" w:cs="Times New Roman"/>
          <w:sz w:val="32"/>
          <w:szCs w:val="32"/>
        </w:rPr>
        <w:t>”</w:t>
      </w:r>
      <w:r>
        <w:rPr>
          <w:rFonts w:hint="eastAsia" w:ascii="仿宋_GB2312" w:hAnsi="仿宋_GB2312" w:eastAsia="仿宋_GB2312" w:cs="仿宋_GB2312"/>
          <w:sz w:val="32"/>
          <w:szCs w:val="32"/>
        </w:rPr>
        <w:t>的表述。</w:t>
      </w:r>
    </w:p>
    <w:p w14:paraId="083BE94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住房租赁企业应当自领取营业执照之日起30日内，向所在地县级以上地方人民政府房产管理部门报送开业信息。房产管理部门应当将住房租赁企业开业信息向社会公开。</w:t>
      </w:r>
    </w:p>
    <w:p w14:paraId="78DCDFA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住房租赁企业应当在其经营场所醒目位置公示本企业开业信息、服务规范和标准等。</w:t>
      </w:r>
    </w:p>
    <w:p w14:paraId="7F6D578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住房租赁企业发布的住房地址、面积、租金等房源信息应当真实、准确、完整，在其经营场所、互联网等不同渠道发布的房源信息应当一致，发布的房源图片应当与实物房源一致，不得发布虚假或者误导性房源信息，不得隐瞒或者拒绝提供拟出租住房的有关重要信息。</w:t>
      </w:r>
    </w:p>
    <w:p w14:paraId="1568CD3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住房租赁企业应当建立住房租赁档案，如实记载相关信息，并健全住房租赁信息查验等内部管理制度。</w:t>
      </w:r>
    </w:p>
    <w:p w14:paraId="76EAAEB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住房租赁企业不得非法收集、使用、加工、传输他人个人信息，不得非法买卖、提供或者公开他人个人信息。</w:t>
      </w:r>
    </w:p>
    <w:p w14:paraId="7375749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住房租赁企业应当按照规定向所在地县级以上地方人民政府房产管理部门报送其经营的租赁住房信息及其变化情况。</w:t>
      </w:r>
    </w:p>
    <w:p w14:paraId="2FE5392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从事转租经营的住房租赁企业应当按照规定设立住房租赁资金监管账户并向社会公示，并通过该账户办理住房租赁资金收付业务，具体办法由国务院住房城乡建设主管部门会同国务院有关部门制定。</w:t>
      </w:r>
    </w:p>
    <w:p w14:paraId="6014113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自然人转租他人住房开展住房租赁经营业务，经营规模达到国务院住房城乡建设主管部门会同国务院市场监督管理部门等有关部门规定标准的，适用本条例有关住房租赁企业的规定。</w:t>
      </w:r>
    </w:p>
    <w:p w14:paraId="7510C8EE">
      <w:pPr>
        <w:pStyle w:val="3"/>
        <w:rPr>
          <w:sz w:val="32"/>
          <w:szCs w:val="32"/>
        </w:rPr>
      </w:pPr>
      <w:r>
        <w:rPr>
          <w:rFonts w:ascii="Times New Roman" w:hAnsi="Times New Roman" w:cs="Times New Roman"/>
          <w:sz w:val="32"/>
          <w:szCs w:val="32"/>
        </w:rPr>
        <w:t>第四章　经 纪 机 构</w:t>
      </w:r>
    </w:p>
    <w:p w14:paraId="2F2C55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从事住房租赁业务的房地产经纪机构(以下简称住房租赁经纪机构)应当具备与其经营规模相适应的自有资金、从业人员和管理能力。</w:t>
      </w:r>
    </w:p>
    <w:p w14:paraId="3689840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住房租赁经纪机构应当将其从业人员名单向所在地县级以上地方人民政府房产管理部门备案。住房租赁经纪机构的从业人员不得同时在两个或者两个以上住房租赁经纪机构从事业务。</w:t>
      </w:r>
    </w:p>
    <w:p w14:paraId="1B95F73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住房租赁经纪机构的从业人员不得以个人名义承接住房租赁经纪业务。</w:t>
      </w:r>
    </w:p>
    <w:p w14:paraId="07CCDE8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住房租赁经纪机构发布房源信息前，应当核对并记录委托人的身份信息、住房权属信息，实地查看房源，与委托人签订住房租赁经纪服务合同，编制住房状况说明书。住房租赁经纪服务合同、住房状况说明书应当加盖住房租赁经纪机构印章，并按照有关规定保存。</w:t>
      </w:r>
    </w:p>
    <w:p w14:paraId="2509B23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本条例第十五条第二款和第三款、第十六条、第十七条的规定，适用于住房租赁经纪机构。</w:t>
      </w:r>
    </w:p>
    <w:p w14:paraId="08B1024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住房租赁经纪机构不得有下列行为：</w:t>
      </w:r>
    </w:p>
    <w:p w14:paraId="1ED168B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(一)为出租不符合建筑、消防、燃气、室内装饰装修等方面的法律、法规、规章或者强制性标准的住房提供经纪服务；</w:t>
      </w:r>
    </w:p>
    <w:p w14:paraId="20A67E2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(二)为单独出租厨房、卫生间、阳台、过道、地下储藏室、车库等非居住空间用于居住提供经纪服务；</w:t>
      </w:r>
    </w:p>
    <w:p w14:paraId="105F5A6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(三)为单间租住人数上限或者人均最低租住面积不符合规定标准的住房出租提供经纪服务；</w:t>
      </w:r>
    </w:p>
    <w:p w14:paraId="34A9B2A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(四)代收、代付住房租金、押金；</w:t>
      </w:r>
    </w:p>
    <w:p w14:paraId="7D42556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(五)未经当事人同意，以当事人名义签订住房租赁合同；</w:t>
      </w:r>
    </w:p>
    <w:p w14:paraId="6F4824F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(六)法律、法规、规章禁止从事的其他行为。</w:t>
      </w:r>
    </w:p>
    <w:p w14:paraId="58C9B56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住房租赁经纪机构应当对收费服务项目明码标价，不得在标价之外加价或者收取未予标明的费用。</w:t>
      </w:r>
    </w:p>
    <w:p w14:paraId="660545F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出租人和承租人通过住房租赁经纪机构签订住房租赁合同的，由住房租赁经纪机构办理住房租赁合同备案。</w:t>
      </w:r>
    </w:p>
    <w:p w14:paraId="395ED6E3">
      <w:pPr>
        <w:pStyle w:val="3"/>
        <w:rPr>
          <w:sz w:val="32"/>
          <w:szCs w:val="32"/>
        </w:rPr>
      </w:pPr>
      <w:r>
        <w:rPr>
          <w:rFonts w:ascii="Times New Roman" w:hAnsi="Times New Roman" w:cs="Times New Roman"/>
          <w:sz w:val="32"/>
          <w:szCs w:val="32"/>
        </w:rPr>
        <w:t>第五章　监 督 管 理</w:t>
      </w:r>
    </w:p>
    <w:p w14:paraId="6D9BC0D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国务院住房城乡建设主管部门会同国务院市场监督管理部门制定并公布住房租赁合同、住房租赁经纪服务合同示范文本。</w:t>
      </w:r>
    </w:p>
    <w:p w14:paraId="5E5EB9C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设区的市级以上地方人民政府应当建立住房租金监测机制，定期公布本行政区域内不同区域、不同类型住房的租金水平信息。</w:t>
      </w:r>
    </w:p>
    <w:p w14:paraId="3347AF9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县级以上地方人民政府房产管理部门应当通过住房租赁管理服务平台开展合同备案、租赁住房信息管理、统计监测等管理与服务，并与民政、自然资源、教育、市场监督管理、金融管理、公安、税务、统计等部门建立信息共享机制。</w:t>
      </w:r>
    </w:p>
    <w:p w14:paraId="4235A8A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县级以上地方人民政府房产管理部门应当会同有关部门加强对住房租赁活动的监督检查，依法及时处理违法行为。</w:t>
      </w:r>
    </w:p>
    <w:p w14:paraId="70861CA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县级以上地方人民政府房产管理部门可以委托实施单位承担住房租赁管理的支持辅助等相关具体工作。房产管理部门委托的实施单位不得以营利为目的。</w:t>
      </w:r>
    </w:p>
    <w:p w14:paraId="5257FEC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县级以上地方人民政府房产管理部门应当对其委托的实施单位加强监督，并对实施单位在委托范围内的行为后果承担法律责任。</w:t>
      </w:r>
    </w:p>
    <w:p w14:paraId="2F4C85E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县级以上地方人民政府房产管理部门应当会同有关部门、住房租赁相关行业组织加强住房租赁行业诚信建设，建立住房租赁企业、住房租赁经纪机构及其从业人员信用评价制度，将相关违法违规行为记入信用记录，纳入全国信用信息共享平台，并根据信用状况实施分级分类监管。</w:t>
      </w:r>
    </w:p>
    <w:p w14:paraId="12F94BE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住房租赁相关行业组织应当建立健全行业规范，加强行业自律管理，促进行业健康发展。</w:t>
      </w:r>
    </w:p>
    <w:p w14:paraId="3C5FAE6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在住房租赁活动中，因押金返还、住房维修、住房腾退等产生纠纷的，由出租人和承租人协商解决；协商不成的，可以依法申请调解、仲裁或者提起诉讼。</w:t>
      </w:r>
    </w:p>
    <w:p w14:paraId="2624CA3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提供住房租赁信息发布服务的网络平台经营者(以下简称网络平台经营者)应当核验住房租赁信息发布者的真实身份信息。</w:t>
      </w:r>
    </w:p>
    <w:p w14:paraId="0AEDD36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网络平台经营者知道或者应当知道信息发布者有提供虚假信息等违法情形的，应当依法采取删除相关信息等必要措施，保存相关记录，并向有关部门报告。</w:t>
      </w:r>
    </w:p>
    <w:p w14:paraId="0B6F7E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网络平台经营者不得代收、代付住房租金、押金。</w:t>
      </w:r>
    </w:p>
    <w:p w14:paraId="0292544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出租人应当按规定如实登记并报送承租人及实际居住人信息，发现违法犯罪活动应当及时向公安机关报告。具体办法由国务院公安部门制定。</w:t>
      </w:r>
    </w:p>
    <w:p w14:paraId="1AA6C5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承租人不得利用租赁住房实施违法犯罪活动。</w:t>
      </w:r>
    </w:p>
    <w:p w14:paraId="3B13D6F0">
      <w:pPr>
        <w:pStyle w:val="3"/>
        <w:rPr>
          <w:sz w:val="32"/>
          <w:szCs w:val="32"/>
        </w:rPr>
      </w:pPr>
      <w:r>
        <w:rPr>
          <w:rFonts w:ascii="Times New Roman" w:hAnsi="Times New Roman" w:cs="Times New Roman"/>
          <w:sz w:val="32"/>
          <w:szCs w:val="32"/>
        </w:rPr>
        <w:t>第六章　法 律 责 任</w:t>
      </w:r>
    </w:p>
    <w:p w14:paraId="67DF13E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有下列情形之一的，依照有关法律、法规、规章的规定处罚：</w:t>
      </w:r>
    </w:p>
    <w:p w14:paraId="2A39E5F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(一)出租不符合建筑、消防、燃气、室内装饰装修等方面的法律、法规、规章或者强制性标准的住房；</w:t>
      </w:r>
    </w:p>
    <w:p w14:paraId="733DAC7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(二)损坏、擅自拆除、停用消防设施；</w:t>
      </w:r>
    </w:p>
    <w:p w14:paraId="01137D6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(三)改动租赁住房承重结构；</w:t>
      </w:r>
    </w:p>
    <w:p w14:paraId="566A8B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(四)私拉乱接水、电、燃气管线。</w:t>
      </w:r>
    </w:p>
    <w:p w14:paraId="3D1F00C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将厨房、卫生间、阳台、过道、地下储藏室、车库等非居住空间单独出租用于居住，或者租赁住房不符合规定的单间租住人数上限或者人均最低租住面积标准的，由县级以上地方人民政府房产管理部门责令改正，给予警告；拒不改正的，对单位处2万元以上10万元以下的罚款，对个人处2000元以上1万元以下的罚款；有违法所得的，没收违法所得。</w:t>
      </w:r>
    </w:p>
    <w:p w14:paraId="3D951DA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住房租赁企业、住房租赁经纪机构不具备与其经营规模相适应的自有资金、从业人员、管理能力的，由县级以上地方人民政府房产管理部门责令改正，给予警告；拒不改正、造成严重后果的，责令停业整顿。</w:t>
      </w:r>
    </w:p>
    <w:p w14:paraId="6F56302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住房租赁企业、住房租赁经纪机构有下列情形之一的，由县级以上地方人民政府房产管理部门责令改正，给予警告；拒不改正的，处2万元以上10万元以下的罚款：</w:t>
      </w:r>
    </w:p>
    <w:p w14:paraId="443D3E1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(一)未按照规定报送开业信息；</w:t>
      </w:r>
    </w:p>
    <w:p w14:paraId="3E01447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(二)未在其经营场所醒目位置公示本企业开业信息、服务规范和标准等；</w:t>
      </w:r>
    </w:p>
    <w:p w14:paraId="37C4334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(三)未建立住房租赁档案并如实记载相关信息，或者未健全住房租赁信息查验等内部管理制度；</w:t>
      </w:r>
    </w:p>
    <w:p w14:paraId="77FE9F6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(四)未按照规定办理住房租赁合同备案。</w:t>
      </w:r>
    </w:p>
    <w:p w14:paraId="6B87CCE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住房租赁企业未按照规定报送其经营的租赁住房信息及其变化情况，或者住房租赁经纪机构未按照规定与委托人签订住房租赁经纪服务合同或者未编制住房状况说明书的，依照前款规定处罚。</w:t>
      </w:r>
    </w:p>
    <w:p w14:paraId="0B857E3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住房租赁企业、住房租赁经纪机构发布虚假或者误导性房源信息，隐瞒或者拒绝提供拟出租住房有关重要信息的，由县级以上地方人民政府房产管理部门责令改正，给予警告，处2万元以上10万元以下的罚款；有违法所得的，没收违法所得；拒不改正的，责令停业整顿；情节严重的，由县级以上地方人民政府房产管理部门提请同级市场监督管理部门依法吊销其营业执照。</w:t>
      </w:r>
    </w:p>
    <w:p w14:paraId="2C26C97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住房租赁企业、住房租赁经纪机构非法收集、使用、加工、传输他人个人信息，或者非法买卖、提供或者公开他人个人信息的，依照有关个人信息保护的法律、法规的规定处罚。</w:t>
      </w:r>
    </w:p>
    <w:p w14:paraId="3B1297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从事转租经营的住房租赁企业未按照规定设立住房租赁资金监管账户并向社会公示，或者未按照规定通过该账户办理住房租赁资金收付业务的，由县级以上地方人民政府房产管理部门责令改正，给予警告，处2万元以上10万元以下的罚款；拒不改正的，处10万元以上50万元以下的罚款。</w:t>
      </w:r>
    </w:p>
    <w:p w14:paraId="5AC7DFA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住房租赁经纪机构有下列情形之一的，由县级以上地方人民政府房产管理部门责令改正，给予警告，处2万元以上10万元以下的罚款；有违法所得的，没收违法所得；拒不改正的，责令停业整顿：</w:t>
      </w:r>
    </w:p>
    <w:p w14:paraId="06BCBDB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(一)发布房源信息前未核对并记录委托人的身份信息、住房权属信息，或者未实地查看房源；</w:t>
      </w:r>
    </w:p>
    <w:p w14:paraId="1CC9C42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(二)为出租不符合建筑、消防、燃气、室内装饰装修等方面的法律、法规、规章或者强制性标准的住房提供经纪服务；</w:t>
      </w:r>
    </w:p>
    <w:p w14:paraId="3F9F2B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(三)为单独出租厨房、卫生间、阳台、过道、地下储藏室、车库等非居住空间用于居住提供经纪服务；</w:t>
      </w:r>
    </w:p>
    <w:p w14:paraId="724063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(四)为单间租住人数上限或者人均最低租住面积不符合规定标准的住房出租提供经纪服务；</w:t>
      </w:r>
    </w:p>
    <w:p w14:paraId="0D9E454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(五)代收、代付住房租金、押金；</w:t>
      </w:r>
    </w:p>
    <w:p w14:paraId="1B0C386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(六)未经当事人同意，以当事人名义签订住房租赁合同；</w:t>
      </w:r>
    </w:p>
    <w:p w14:paraId="6B4193A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(七)未按规定将其从业人员名单备案。</w:t>
      </w:r>
    </w:p>
    <w:p w14:paraId="7807C30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网络平台经营者代收、代付住房租金、押金的，依照前款规定处罚。</w:t>
      </w:r>
    </w:p>
    <w:p w14:paraId="46687C0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住房租赁经纪机构的从业人员同时在两个或者两个以上住房租赁经纪机构从事业务，或者以个人名义承接住房租赁经纪业务的，由县级以上地方人民政府房产管理部门责令改正，给予警告，可以处1万元以下的罚款；有违法所得的，没收违法所得；拒不改正的，1年内不得从事住房租赁经纪业务；情节严重的，5年内不得从事住房租赁经纪业务。</w:t>
      </w:r>
    </w:p>
    <w:p w14:paraId="32B0A68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网络平台经营者未履行核验责任的，县级以上地方人民政府房产管理部门应当通报网信部门，由网信部门依据职责予以处置，可以处10万元以下的罚款；情节严重的，可以责令暂停相关业务或者停业整顿。</w:t>
      </w:r>
    </w:p>
    <w:p w14:paraId="222DD44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房产管理部门和其他有关部门工作人员在住房租赁活动监督管理工作中滥用职权、玩忽职守、徇私舞弊的，依法给予处分。</w:t>
      </w:r>
    </w:p>
    <w:p w14:paraId="7E3BB3C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违反本条例规定，给他人造成损失的，依法承担赔偿责任；构成违反治安管理行为的，由公安机关依法给予治安管理处罚；构成犯罪的，依法追究刑事责任。</w:t>
      </w:r>
    </w:p>
    <w:p w14:paraId="141FD243">
      <w:pPr>
        <w:pStyle w:val="3"/>
        <w:rPr>
          <w:sz w:val="32"/>
          <w:szCs w:val="32"/>
        </w:rPr>
      </w:pPr>
      <w:r>
        <w:rPr>
          <w:rFonts w:ascii="Times New Roman" w:hAnsi="Times New Roman" w:cs="Times New Roman"/>
          <w:sz w:val="32"/>
          <w:szCs w:val="32"/>
        </w:rPr>
        <w:t>第七章　附　　则</w:t>
      </w:r>
    </w:p>
    <w:p w14:paraId="3B71457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保障性住房的租赁活动及其监督管理，国家另有规定的，从其规定。</w:t>
      </w:r>
    </w:p>
    <w:p w14:paraId="7192BDF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集体土地上住房租赁活动，由省、自治区、直辖市人民政府根据实际情况，制定管理办法。</w:t>
      </w:r>
    </w:p>
    <w:p w14:paraId="43C35AB6">
      <w:pPr>
        <w:pStyle w:val="10"/>
        <w:ind w:firstLine="640" w:firstLineChars="200"/>
        <w:jc w:val="left"/>
        <w:rPr>
          <w:rFonts w:hint="eastAsia" w:ascii="楷体_GB2312" w:hAnsi="楷体_GB2312" w:eastAsia="楷体_GB2312" w:cs="楷体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本条例自2025年9月15日起施行。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FB2050">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2E89A094">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D77AD"/>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26C35"/>
    <w:rsid w:val="004617AB"/>
    <w:rsid w:val="00465FF6"/>
    <w:rsid w:val="00493FD3"/>
    <w:rsid w:val="00496A27"/>
    <w:rsid w:val="00500522"/>
    <w:rsid w:val="00502210"/>
    <w:rsid w:val="005272D1"/>
    <w:rsid w:val="005505F3"/>
    <w:rsid w:val="00574409"/>
    <w:rsid w:val="00574DA9"/>
    <w:rsid w:val="00575857"/>
    <w:rsid w:val="005F72E4"/>
    <w:rsid w:val="0060279C"/>
    <w:rsid w:val="00604330"/>
    <w:rsid w:val="006405E2"/>
    <w:rsid w:val="00642CD4"/>
    <w:rsid w:val="00656A45"/>
    <w:rsid w:val="006848F5"/>
    <w:rsid w:val="00723BD5"/>
    <w:rsid w:val="00730ACC"/>
    <w:rsid w:val="00735841"/>
    <w:rsid w:val="00754610"/>
    <w:rsid w:val="00772ECF"/>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77DB2"/>
    <w:rsid w:val="009D67A7"/>
    <w:rsid w:val="00A06F17"/>
    <w:rsid w:val="00A14746"/>
    <w:rsid w:val="00A1689C"/>
    <w:rsid w:val="00A37B48"/>
    <w:rsid w:val="00A57CA4"/>
    <w:rsid w:val="00AA747A"/>
    <w:rsid w:val="00AC7BC9"/>
    <w:rsid w:val="00B15D96"/>
    <w:rsid w:val="00B31E84"/>
    <w:rsid w:val="00B423E4"/>
    <w:rsid w:val="00B6764E"/>
    <w:rsid w:val="00B9435F"/>
    <w:rsid w:val="00BA3E75"/>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0FE95C04"/>
    <w:rsid w:val="10A47D69"/>
    <w:rsid w:val="134A1994"/>
    <w:rsid w:val="136642BB"/>
    <w:rsid w:val="142327B5"/>
    <w:rsid w:val="14484CDF"/>
    <w:rsid w:val="155E2CB3"/>
    <w:rsid w:val="157124FD"/>
    <w:rsid w:val="174517D7"/>
    <w:rsid w:val="18413C16"/>
    <w:rsid w:val="198A0A54"/>
    <w:rsid w:val="19DB6C33"/>
    <w:rsid w:val="1C9212F7"/>
    <w:rsid w:val="1C9C47C8"/>
    <w:rsid w:val="20D86240"/>
    <w:rsid w:val="21CE0F2E"/>
    <w:rsid w:val="22DD4281"/>
    <w:rsid w:val="253620CC"/>
    <w:rsid w:val="25F044FF"/>
    <w:rsid w:val="26CA1A3A"/>
    <w:rsid w:val="27680A3B"/>
    <w:rsid w:val="2834230D"/>
    <w:rsid w:val="28F8723D"/>
    <w:rsid w:val="2B01664D"/>
    <w:rsid w:val="2D644059"/>
    <w:rsid w:val="2DBE0D65"/>
    <w:rsid w:val="2E1B43B4"/>
    <w:rsid w:val="2ED32E01"/>
    <w:rsid w:val="2F880457"/>
    <w:rsid w:val="2FF20DF5"/>
    <w:rsid w:val="318138A8"/>
    <w:rsid w:val="320E2B0A"/>
    <w:rsid w:val="32252208"/>
    <w:rsid w:val="330D4027"/>
    <w:rsid w:val="3330356C"/>
    <w:rsid w:val="33CF5811"/>
    <w:rsid w:val="34031BBE"/>
    <w:rsid w:val="35095248"/>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7EC46A0"/>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604AD8"/>
    <w:rsid w:val="62F60DE0"/>
    <w:rsid w:val="63DD0DD3"/>
    <w:rsid w:val="641F5EE8"/>
    <w:rsid w:val="649C0E8F"/>
    <w:rsid w:val="65532802"/>
    <w:rsid w:val="65BF6566"/>
    <w:rsid w:val="665D25F4"/>
    <w:rsid w:val="674048E2"/>
    <w:rsid w:val="68715924"/>
    <w:rsid w:val="68CA70D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9763F56"/>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5637</Words>
  <Characters>5669</Characters>
  <Lines>20</Lines>
  <Paragraphs>5</Paragraphs>
  <TotalTime>2</TotalTime>
  <ScaleCrop>false</ScaleCrop>
  <LinksUpToDate>false</LinksUpToDate>
  <CharactersWithSpaces>5741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2025-07-21T13:38:55Z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217A513D0D944846B1C9FC95A3E129D5_12</vt:lpwstr>
  </property>
  <property fmtid="{D5CDD505-2E9C-101B-9397-08002B2CF9AE}" pid="4" name="KSOTemplateDocerSaveRecord">
    <vt:lpwstr>eyJoZGlkIjoiNTBjMDU0OTc4MGNmOWIyZTM0MzQ4ZTU3YzBmM2I1YjAifQ==</vt:lpwstr>
  </property>
</Properties>
</file>