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5A14426">
      <w:pPr>
        <w:jc w:val="center"/>
        <w:rPr>
          <w:b/>
          <w:bCs/>
          <w:sz w:val="44"/>
          <w:szCs w:val="44"/>
        </w:rPr>
      </w:pPr>
      <w:bookmarkStart w:id="0" w:name="_GoBack"/>
      <w:bookmarkEnd w:id="0"/>
    </w:p>
    <w:p w14:paraId="136ADA0C">
      <w:pPr>
        <w:widowControl/>
        <w:spacing w:line="500" w:lineRule="exact"/>
        <w:jc w:val="center"/>
        <w:rPr>
          <w:rFonts w:hint="eastAsia" w:ascii="宋体" w:hAnsi="宋体" w:cs="宋体"/>
          <w:color w:val="333333"/>
          <w:sz w:val="44"/>
          <w:szCs w:val="44"/>
          <w:shd w:val="clear" w:color="auto" w:fill="FFFFFF"/>
        </w:rPr>
      </w:pPr>
      <w:r>
        <w:rPr>
          <w:rFonts w:hint="eastAsia" w:ascii="宋体" w:hAnsi="宋体" w:cs="宋体"/>
          <w:color w:val="333333"/>
          <w:sz w:val="44"/>
          <w:szCs w:val="44"/>
          <w:shd w:val="clear" w:color="auto" w:fill="FFFFFF"/>
        </w:rPr>
        <w:t>蓄滞洪区运用补偿办法</w:t>
      </w:r>
    </w:p>
    <w:p w14:paraId="3CB2A504">
      <w:pPr>
        <w:widowControl/>
        <w:spacing w:line="500" w:lineRule="exact"/>
        <w:jc w:val="center"/>
        <w:rPr>
          <w:rFonts w:hint="eastAsia" w:ascii="宋体" w:hAnsi="宋体" w:cs="宋体"/>
          <w:color w:val="333333"/>
          <w:sz w:val="44"/>
          <w:szCs w:val="44"/>
          <w:shd w:val="clear" w:color="auto" w:fill="FFFFFF"/>
        </w:rPr>
      </w:pPr>
    </w:p>
    <w:p w14:paraId="22DDC37C">
      <w:pPr>
        <w:pStyle w:val="11"/>
        <w:ind w:firstLine="684" w:firstLineChars="200"/>
        <w:rPr>
          <w:rFonts w:hint="eastAsia" w:ascii="楷体_GB2312" w:hAnsi="楷体_GB2312" w:eastAsia="楷体_GB2312" w:cs="楷体_GB2312"/>
          <w:bCs/>
          <w:spacing w:val="11"/>
          <w:kern w:val="2"/>
          <w:sz w:val="32"/>
          <w:szCs w:val="32"/>
          <w:shd w:val="clear" w:color="auto" w:fill="FFFFFF"/>
          <w:lang w:val="en-US" w:eastAsia="zh-CN" w:bidi="ar-SA"/>
        </w:rPr>
      </w:pPr>
      <w:r>
        <w:rPr>
          <w:rFonts w:hint="eastAsia" w:ascii="楷体_GB2312" w:hAnsi="楷体_GB2312" w:eastAsia="楷体_GB2312" w:cs="楷体_GB2312"/>
          <w:bCs/>
          <w:spacing w:val="11"/>
          <w:kern w:val="2"/>
          <w:sz w:val="32"/>
          <w:szCs w:val="32"/>
          <w:shd w:val="clear" w:color="auto" w:fill="FFFFFF"/>
          <w:lang w:val="en-US" w:eastAsia="zh-CN" w:bidi="ar-SA"/>
        </w:rPr>
        <w:t>(2025年6月13日国务院第61次常务会议通</w:t>
      </w:r>
      <w:r>
        <w:rPr>
          <w:rFonts w:hint="eastAsia" w:ascii="楷体_GB2312" w:hAnsi="楷体_GB2312" w:eastAsia="楷体_GB2312" w:cs="楷体_GB2312"/>
          <w:bCs/>
          <w:spacing w:val="11"/>
          <w:kern w:val="2"/>
          <w:sz w:val="32"/>
          <w:szCs w:val="32"/>
          <w:shd w:val="clear" w:color="auto" w:fill="FFFFFF"/>
          <w:lang w:val="en-US" w:eastAsia="zh-CN" w:bidi="ar-SA"/>
        </w:rPr>
        <w:t>过　2025年6月23日中华人民共和国国务院令第811号公布　自公布之日起施行</w:t>
      </w:r>
      <w:r>
        <w:rPr>
          <w:rFonts w:hint="eastAsia" w:ascii="楷体_GB2312" w:hAnsi="楷体_GB2312" w:eastAsia="楷体_GB2312" w:cs="楷体_GB2312"/>
          <w:bCs/>
          <w:spacing w:val="11"/>
          <w:kern w:val="2"/>
          <w:sz w:val="32"/>
          <w:szCs w:val="32"/>
          <w:shd w:val="clear" w:color="auto" w:fill="FFFFFF"/>
          <w:lang w:val="en-US" w:eastAsia="zh-CN" w:bidi="ar-SA"/>
        </w:rPr>
        <w:t>)</w:t>
      </w:r>
    </w:p>
    <w:p w14:paraId="4166D492">
      <w:pPr>
        <w:pStyle w:val="3"/>
        <w:bidi w:val="0"/>
      </w:pPr>
      <w:r>
        <w:t>第一章　总　　则</w:t>
      </w:r>
    </w:p>
    <w:p w14:paraId="0609980A">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第一条　</w:t>
      </w:r>
      <w:r>
        <w:rPr>
          <w:rFonts w:hint="eastAsia" w:ascii="仿宋_GB2312" w:hAnsi="仿宋_GB2312" w:eastAsia="仿宋_GB2312" w:cs="仿宋_GB2312"/>
          <w:sz w:val="32"/>
          <w:szCs w:val="32"/>
        </w:rPr>
        <w:t>为了保障蓄滞洪区的正常运用，确保受洪水威胁的重点地区的防洪安全，合理补偿蓄滞洪区内居民因蓄滞洪遭受的损失，根据《中华人民共和国防洪法》，制定本办法。</w:t>
      </w:r>
    </w:p>
    <w:p w14:paraId="25D59662">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第二条　</w:t>
      </w:r>
      <w:r>
        <w:rPr>
          <w:rFonts w:hint="eastAsia" w:ascii="仿宋_GB2312" w:hAnsi="仿宋_GB2312" w:eastAsia="仿宋_GB2312" w:cs="仿宋_GB2312"/>
          <w:sz w:val="32"/>
          <w:szCs w:val="32"/>
        </w:rPr>
        <w:t>本办法适用于国家蓄滞洪区。国家蓄滞洪区名录由国务院水行政主管部门根据国家确定的重要江河、湖泊流域的防洪规划拟订，报国务院批准后公布。</w:t>
      </w:r>
    </w:p>
    <w:p w14:paraId="12A61EF6">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第三条　</w:t>
      </w:r>
      <w:r>
        <w:rPr>
          <w:rFonts w:hint="eastAsia" w:ascii="仿宋_GB2312" w:hAnsi="仿宋_GB2312" w:eastAsia="仿宋_GB2312" w:cs="仿宋_GB2312"/>
          <w:sz w:val="32"/>
          <w:szCs w:val="32"/>
        </w:rPr>
        <w:t>蓄滞洪区运用补偿，遵循下列原则：</w:t>
      </w:r>
    </w:p>
    <w:p w14:paraId="2292B968">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(一)保障蓄滞洪区居民的基本生活；</w:t>
      </w:r>
    </w:p>
    <w:p w14:paraId="67566DDD">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(二)有利于蓄滞洪区恢复农业生产；</w:t>
      </w:r>
    </w:p>
    <w:p w14:paraId="72130FCB">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(三)与国家财政承受能力相适应。</w:t>
      </w:r>
    </w:p>
    <w:p w14:paraId="2A4FD8D8">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第四条　</w:t>
      </w:r>
      <w:r>
        <w:rPr>
          <w:rFonts w:hint="eastAsia" w:ascii="仿宋_GB2312" w:hAnsi="仿宋_GB2312" w:eastAsia="仿宋_GB2312" w:cs="仿宋_GB2312"/>
          <w:sz w:val="32"/>
          <w:szCs w:val="32"/>
        </w:rPr>
        <w:t>蓄滞洪区运用前，蓄滞洪区所在地地方各级人民政府应当组织有关部门和单位做好蓄滞洪区内人员、财产的转移和保护工作，尽量减少蓄滞洪造成的损失。</w:t>
      </w:r>
    </w:p>
    <w:p w14:paraId="4C7D9546">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第五条　</w:t>
      </w:r>
      <w:r>
        <w:rPr>
          <w:rFonts w:hint="eastAsia" w:ascii="仿宋_GB2312" w:hAnsi="仿宋_GB2312" w:eastAsia="仿宋_GB2312" w:cs="仿宋_GB2312"/>
          <w:sz w:val="32"/>
          <w:szCs w:val="32"/>
        </w:rPr>
        <w:t>国务院财政主管部门和水行政主管部门依照本办法的规定，负责全国蓄滞洪区运用补偿工作的组织实施和监督管理。</w:t>
      </w:r>
    </w:p>
    <w:p w14:paraId="3570097A">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国务院水行政主管部门在国家确定的重要江河、湖泊设立的流域管理机构，对所辖区域内蓄滞洪区运用补偿工作实施监督、指导。</w:t>
      </w:r>
    </w:p>
    <w:p w14:paraId="086F7015">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蓄滞洪区所在地地方各级人民政府依照本办法的规定，负责本行政区域内蓄滞洪区运用补偿工作的具体实施和管理。上一级人民政府应当对下一级人民政府的蓄滞洪区运用补偿工作实施监督。</w:t>
      </w:r>
    </w:p>
    <w:p w14:paraId="7A28C76D">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蓄滞洪区所在地县级以上地方人民政府财政、水行政、发展改革、自然资源、住房城乡建设、农业农村、应急管理、林业草原等有关部门按照职责分工，负责蓄滞洪区运用补偿的有关工作。</w:t>
      </w:r>
    </w:p>
    <w:p w14:paraId="11E660C9">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第六条　</w:t>
      </w:r>
      <w:r>
        <w:rPr>
          <w:rFonts w:hint="eastAsia" w:ascii="仿宋_GB2312" w:hAnsi="仿宋_GB2312" w:eastAsia="仿宋_GB2312" w:cs="仿宋_GB2312"/>
          <w:sz w:val="32"/>
          <w:szCs w:val="32"/>
        </w:rPr>
        <w:t>国家鼓励、支持在蓄滞洪区推行洪水保险制度，鼓励保险机构根据蓄滞洪区运用后损失情况，开展洪水保险快速理赔和灾害应急预付赔款服务。</w:t>
      </w:r>
    </w:p>
    <w:p w14:paraId="2862A4B8">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第七条　</w:t>
      </w:r>
      <w:r>
        <w:rPr>
          <w:rFonts w:hint="eastAsia" w:ascii="仿宋_GB2312" w:hAnsi="仿宋_GB2312" w:eastAsia="仿宋_GB2312" w:cs="仿宋_GB2312"/>
          <w:sz w:val="32"/>
          <w:szCs w:val="32"/>
        </w:rPr>
        <w:t>任何组织和个人不得骗取、侵吞和挪用蓄滞洪区运用补偿资金。</w:t>
      </w:r>
    </w:p>
    <w:p w14:paraId="0038B195">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第八条　</w:t>
      </w:r>
      <w:r>
        <w:rPr>
          <w:rFonts w:hint="eastAsia" w:ascii="仿宋_GB2312" w:hAnsi="仿宋_GB2312" w:eastAsia="仿宋_GB2312" w:cs="仿宋_GB2312"/>
          <w:sz w:val="32"/>
          <w:szCs w:val="32"/>
        </w:rPr>
        <w:t>审计机关应当加强对蓄滞洪区运用补偿资金的管理和使用情况的审计监督。</w:t>
      </w:r>
    </w:p>
    <w:p w14:paraId="418CFD54">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第九条　</w:t>
      </w:r>
      <w:r>
        <w:rPr>
          <w:rFonts w:hint="eastAsia" w:ascii="仿宋_GB2312" w:hAnsi="仿宋_GB2312" w:eastAsia="仿宋_GB2312" w:cs="仿宋_GB2312"/>
          <w:sz w:val="32"/>
          <w:szCs w:val="32"/>
        </w:rPr>
        <w:t>蓄滞洪区所在地地方各级人民政府有关部门应当充分运用现代信息技术手段，建立健全信息共享机制，提高蓄滞洪区运用补偿工作效率和水平。</w:t>
      </w:r>
    </w:p>
    <w:p w14:paraId="1C34D388">
      <w:pPr>
        <w:pStyle w:val="3"/>
        <w:bidi w:val="0"/>
      </w:pPr>
      <w:r>
        <w:t>第二章　补偿对象、范围和标准</w:t>
      </w:r>
    </w:p>
    <w:p w14:paraId="13709C2F">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第十条　</w:t>
      </w:r>
      <w:r>
        <w:rPr>
          <w:rFonts w:hint="eastAsia" w:ascii="仿宋_GB2312" w:hAnsi="仿宋_GB2312" w:eastAsia="仿宋_GB2312" w:cs="仿宋_GB2312"/>
          <w:sz w:val="32"/>
          <w:szCs w:val="32"/>
        </w:rPr>
        <w:t>蓄滞洪区内具有常住户口的居民，依法直接从事种植、养殖的农业生产者，以及蓄滞洪区内住房的所有权人(以下统称区内居民)，在蓄滞洪区运用后依照本办法的规定获得补偿。</w:t>
      </w:r>
    </w:p>
    <w:p w14:paraId="327C0417">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区内居民除依照本办法获得蓄滞洪区运用补偿外，同时按照国家有关规定享受与其他洪水灾区受灾者同样的政府救助和社会捐助。</w:t>
      </w:r>
    </w:p>
    <w:p w14:paraId="0050D53D">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第十一条　</w:t>
      </w:r>
      <w:r>
        <w:rPr>
          <w:rFonts w:hint="eastAsia" w:ascii="仿宋_GB2312" w:hAnsi="仿宋_GB2312" w:eastAsia="仿宋_GB2312" w:cs="仿宋_GB2312"/>
          <w:sz w:val="32"/>
          <w:szCs w:val="32"/>
        </w:rPr>
        <w:t>蓄滞洪区运用后，对区内居民遭受的下列损失给予补偿：</w:t>
      </w:r>
    </w:p>
    <w:p w14:paraId="7B6D6AD2">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(一)农作物、专业养殖和经济林水毁损失；</w:t>
      </w:r>
    </w:p>
    <w:p w14:paraId="22F6F0BB">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(二)住房水毁损失；</w:t>
      </w:r>
    </w:p>
    <w:p w14:paraId="52F98DC0">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(三)无法转移的农业生产机械、家庭主要耐用消费品和饲养的畜禽水毁损失。</w:t>
      </w:r>
    </w:p>
    <w:p w14:paraId="2A63252D">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第十二条　</w:t>
      </w:r>
      <w:r>
        <w:rPr>
          <w:rFonts w:hint="eastAsia" w:ascii="仿宋_GB2312" w:hAnsi="仿宋_GB2312" w:eastAsia="仿宋_GB2312" w:cs="仿宋_GB2312"/>
          <w:sz w:val="32"/>
          <w:szCs w:val="32"/>
        </w:rPr>
        <w:t>蓄滞洪区运用后造成的下列损失，不予补偿：</w:t>
      </w:r>
    </w:p>
    <w:p w14:paraId="098DF56F">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(一)根据国家有关规定应当退田而拒不退田，应当迁出而拒不迁出，或者退田、迁出后擅自返耕、返迁造成的水毁损失；</w:t>
      </w:r>
    </w:p>
    <w:p w14:paraId="77C27537">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(二)违反蓄滞洪区建设与管理规划、方案建造的住房水毁损失；</w:t>
      </w:r>
    </w:p>
    <w:p w14:paraId="51CC2307">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(三)按照转移命令能转移而未转移的农业生产机械、家庭主要耐用消费品和饲养的畜禽水毁损失。</w:t>
      </w:r>
    </w:p>
    <w:p w14:paraId="11E26BC8">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第十三条　</w:t>
      </w:r>
      <w:r>
        <w:rPr>
          <w:rFonts w:hint="eastAsia" w:ascii="仿宋_GB2312" w:hAnsi="仿宋_GB2312" w:eastAsia="仿宋_GB2312" w:cs="仿宋_GB2312"/>
          <w:sz w:val="32"/>
          <w:szCs w:val="32"/>
        </w:rPr>
        <w:t>蓄滞洪区运用后，对本办法第十一条规定范围内的损失实行分类定值补偿，补偿标准按照下列规定执行：</w:t>
      </w:r>
    </w:p>
    <w:p w14:paraId="7F0E76A7">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农作物按照蓄滞洪区运用前三年平均年产值的50%至70%补偿，专业养殖、经济林按照蓄滞洪区运用前三年平均年产值的40%至50%补偿。具体补偿标准由蓄滞洪区所在地省、自治区、直辖市人民政府(以下统称省级人民政府)根据蓄滞洪区运用后的实际水毁情况在上述幅度内确定。</w:t>
      </w:r>
    </w:p>
    <w:p w14:paraId="67D5C511">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(二)住房按照水毁损失的70%补偿。</w:t>
      </w:r>
    </w:p>
    <w:p w14:paraId="77DC62D9">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农业生产机械、家庭主要耐用消费品和饲养的畜禽，按照水毁损失的50%补偿。但是，农业生产机械、家庭主要耐用消费品和饲养的畜禽的总价值在2000元以下的，按照水毁损失的100%补偿；水毁损失超过2000元不足4000元的，按照2000元补偿。</w:t>
      </w:r>
    </w:p>
    <w:p w14:paraId="166EBFBD">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分类定值补偿的具体办法，由蓄滞洪区所在地省级人民政府按照有利于蓄滞洪区运用和管理的原则制定。</w:t>
      </w:r>
    </w:p>
    <w:p w14:paraId="4596C470">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第十四条　</w:t>
      </w:r>
      <w:r>
        <w:rPr>
          <w:rFonts w:hint="eastAsia" w:ascii="仿宋_GB2312" w:hAnsi="仿宋_GB2312" w:eastAsia="仿宋_GB2312" w:cs="仿宋_GB2312"/>
          <w:sz w:val="32"/>
          <w:szCs w:val="32"/>
        </w:rPr>
        <w:t>已下达蓄滞洪转移命令，因情况变化未实施蓄滞洪造成损失的，给予适当补偿。</w:t>
      </w:r>
    </w:p>
    <w:p w14:paraId="32ECC630">
      <w:pPr>
        <w:pStyle w:val="3"/>
        <w:bidi w:val="0"/>
      </w:pPr>
      <w:r>
        <w:t>第三章　补 偿 程 序</w:t>
      </w:r>
    </w:p>
    <w:p w14:paraId="3592A588">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第十五条　</w:t>
      </w:r>
      <w:r>
        <w:rPr>
          <w:rFonts w:hint="eastAsia" w:ascii="仿宋_GB2312" w:hAnsi="仿宋_GB2312" w:eastAsia="仿宋_GB2312" w:cs="仿宋_GB2312"/>
          <w:sz w:val="32"/>
          <w:szCs w:val="32"/>
        </w:rPr>
        <w:t>蓄滞洪区所在地县级人民政府应当组织有关部门和乡镇人民政府、街道办事处对区内居民的承包土地、流转土地、住房、农业生产机械和家庭主要耐用消费品逐户进行补偿登记，并由村民委员会、居民委员会张榜公布；在规定时间内无异议的，由县、乡、村分级建档立卡。</w:t>
      </w:r>
    </w:p>
    <w:p w14:paraId="0D9EAC1D">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以村或者居民委员会为单位进行财产补偿登记时，应当有村民委员会成员、居民委员会成员和村民代表、居民代表参加。</w:t>
      </w:r>
    </w:p>
    <w:p w14:paraId="414BCF4B">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财产补偿登记涉及已经依法登记的不动产的，有关登记事项以不动产登记簿记载的为准。</w:t>
      </w:r>
    </w:p>
    <w:p w14:paraId="64ED317B">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第十六条　</w:t>
      </w:r>
      <w:r>
        <w:rPr>
          <w:rFonts w:hint="eastAsia" w:ascii="仿宋_GB2312" w:hAnsi="仿宋_GB2312" w:eastAsia="仿宋_GB2312" w:cs="仿宋_GB2312"/>
          <w:sz w:val="32"/>
          <w:szCs w:val="32"/>
        </w:rPr>
        <w:t>财产补偿登记已公布的区内居民的承包土地、流转土地、住房或者其他财产发生变更时，村民委员会、居民委员会应当于每年汛前汇总，并向乡镇人民政府、街道办事处提出变更登记申请，由乡镇人民政府、街道办事处核实登记后，报蓄滞洪区所在地县级人民政府指定的部门备案。</w:t>
      </w:r>
    </w:p>
    <w:p w14:paraId="0B000284">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第十七条　</w:t>
      </w:r>
      <w:r>
        <w:rPr>
          <w:rFonts w:hint="eastAsia" w:ascii="仿宋_GB2312" w:hAnsi="仿宋_GB2312" w:eastAsia="仿宋_GB2312" w:cs="仿宋_GB2312"/>
          <w:sz w:val="32"/>
          <w:szCs w:val="32"/>
        </w:rPr>
        <w:t>蓄滞洪区所在地县级人民政府应当及时将区内居民的承包土地、流转土地、住房、农业生产机械和家庭主要耐用消费品的财产补偿登记情况及变更登记情况汇总后抄报所在流域管理机构备案。流域管理机构应当根据每年汛期预报，对财产补偿登记及变更登记情况进行必要的抽查。</w:t>
      </w:r>
    </w:p>
    <w:p w14:paraId="18460B26">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第十八条　</w:t>
      </w:r>
      <w:r>
        <w:rPr>
          <w:rFonts w:hint="eastAsia" w:ascii="仿宋_GB2312" w:hAnsi="仿宋_GB2312" w:eastAsia="仿宋_GB2312" w:cs="仿宋_GB2312"/>
          <w:sz w:val="32"/>
          <w:szCs w:val="32"/>
        </w:rPr>
        <w:t>蓄滞洪区运用后，所在地省级人民政府或者其授权的主管部门应当及时组织对蓄滞洪区运用的淹没范围予以界定。</w:t>
      </w:r>
    </w:p>
    <w:p w14:paraId="5E7AA3CC">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蓄滞洪区所在地县级人民政府应当及时组织有关部门和乡镇人民政府、街道办事处核查淹没范围内损失情况，按照规定的补偿标准提出补偿方案，经省级人民政府或者其授权的主管部门核实后，由省级人民政府报国务院。补偿方案由国务院财政主管部门、水行政主管部门和应急管理部门审查、核定，提出补偿资金总额，报国务院批准后下达。省级人民政府上报的补偿方案应当附具所在流域管理机构签署的意见。</w:t>
      </w:r>
    </w:p>
    <w:p w14:paraId="5C62728E">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以村或者居民委员会为单位核查损失时，应当有村民委员会成员、居民委员会成员和村民代表、居民代表参加，并对损失情况张榜公布。</w:t>
      </w:r>
    </w:p>
    <w:p w14:paraId="34971655">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根据实际需要，可以委托专业机构参与核查损失情况。</w:t>
      </w:r>
    </w:p>
    <w:p w14:paraId="301D1E83">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第十九条　</w:t>
      </w:r>
      <w:r>
        <w:rPr>
          <w:rFonts w:hint="eastAsia" w:ascii="仿宋_GB2312" w:hAnsi="仿宋_GB2312" w:eastAsia="仿宋_GB2312" w:cs="仿宋_GB2312"/>
          <w:sz w:val="32"/>
          <w:szCs w:val="32"/>
        </w:rPr>
        <w:t>蓄滞洪区运用补偿资金由中央财政和蓄滞洪区所在地省级财政共同承担，中央财政承担补偿资金总额的70%。</w:t>
      </w:r>
    </w:p>
    <w:p w14:paraId="254A45FF">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蓄滞洪区运用后，补偿资金应当及时、足额拨付到位。资金管理办法由国务院财政主管部门会同水行政主管部门制定。</w:t>
      </w:r>
    </w:p>
    <w:p w14:paraId="168645D1">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第二十条　</w:t>
      </w:r>
      <w:r>
        <w:rPr>
          <w:rFonts w:hint="eastAsia" w:ascii="仿宋_GB2312" w:hAnsi="仿宋_GB2312" w:eastAsia="仿宋_GB2312" w:cs="仿宋_GB2312"/>
          <w:sz w:val="32"/>
          <w:szCs w:val="32"/>
        </w:rPr>
        <w:t>蓄滞洪区所在地县级人民政府在补偿资金预算下达后，应当及时制定具体补偿方案，由乡镇人民政府、街道办事处逐户确定具体补偿金额，并由村民委员会、居民委员会张榜公布。</w:t>
      </w:r>
    </w:p>
    <w:p w14:paraId="57E84BB0">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具体补偿金额经公布无异议后，按照国库集中支付制度有关规定将补偿资金支付至区内居民银行账户。</w:t>
      </w:r>
    </w:p>
    <w:p w14:paraId="23EAF06B">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第二十一条　</w:t>
      </w:r>
      <w:r>
        <w:rPr>
          <w:rFonts w:hint="eastAsia" w:ascii="仿宋_GB2312" w:hAnsi="仿宋_GB2312" w:eastAsia="仿宋_GB2312" w:cs="仿宋_GB2312"/>
          <w:sz w:val="32"/>
          <w:szCs w:val="32"/>
        </w:rPr>
        <w:t>蓄滞洪区运用后损失严重的，在补偿方案由国务院有关部门审查、核定前，蓄滞洪区所在地省级人民政府或者其授权的主管部门可以向国务院水行政主管部门、财政主管部门申请预先下达部分补偿资金预算，并及时组织将补偿资金支付至区内居民银行账户。预先下达的补偿资金在后期据实结算。</w:t>
      </w:r>
    </w:p>
    <w:p w14:paraId="2C94F815">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第二十二条　</w:t>
      </w:r>
      <w:r>
        <w:rPr>
          <w:rFonts w:hint="eastAsia" w:ascii="仿宋_GB2312" w:hAnsi="仿宋_GB2312" w:eastAsia="仿宋_GB2312" w:cs="仿宋_GB2312"/>
          <w:sz w:val="32"/>
          <w:szCs w:val="32"/>
        </w:rPr>
        <w:t>补偿资金发放完毕后，蓄滞洪区所在地省级人民政府或者其授权的主管部门应当及时将补偿工作情况报国务院财政主管部门、水行政主管部门和应急管理部门。</w:t>
      </w:r>
    </w:p>
    <w:p w14:paraId="6BA83D64">
      <w:pPr>
        <w:pStyle w:val="3"/>
        <w:bidi w:val="0"/>
      </w:pPr>
      <w:r>
        <w:t>第四章　法 律 责 任</w:t>
      </w:r>
    </w:p>
    <w:p w14:paraId="189D6423">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第二十三条　</w:t>
      </w:r>
      <w:r>
        <w:rPr>
          <w:rFonts w:hint="eastAsia" w:ascii="仿宋_GB2312" w:hAnsi="仿宋_GB2312" w:eastAsia="仿宋_GB2312" w:cs="仿宋_GB2312"/>
          <w:sz w:val="32"/>
          <w:szCs w:val="32"/>
        </w:rPr>
        <w:t>地方各级人民政府和县级以上人民政府有关部门及其工作人员，以及其他依法履行公职的人员，在蓄滞洪区运用补偿工作中滥用职权、玩忽职守、徇私舞弊，或者骗取、侵吞、挪用补偿资金的，对负有责任的领导人员和直接责任人员依法给予处分。</w:t>
      </w:r>
    </w:p>
    <w:p w14:paraId="18636301">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第二十四条　</w:t>
      </w:r>
      <w:r>
        <w:rPr>
          <w:rFonts w:hint="eastAsia" w:ascii="仿宋_GB2312" w:hAnsi="仿宋_GB2312" w:eastAsia="仿宋_GB2312" w:cs="仿宋_GB2312"/>
          <w:sz w:val="32"/>
          <w:szCs w:val="32"/>
        </w:rPr>
        <w:t>区内居民在财产补偿登记时弄虚作假，或者在蓄滞洪区运用补偿过程中谎报、虚报损失的，由县级人民政府责令改正，予以警告；多领、冒领补偿资金的，追回多领、冒领的资金。</w:t>
      </w:r>
    </w:p>
    <w:p w14:paraId="269CB777">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第二十五条　</w:t>
      </w:r>
      <w:r>
        <w:rPr>
          <w:rFonts w:hint="eastAsia" w:ascii="仿宋_GB2312" w:hAnsi="仿宋_GB2312" w:eastAsia="仿宋_GB2312" w:cs="仿宋_GB2312"/>
          <w:sz w:val="32"/>
          <w:szCs w:val="32"/>
        </w:rPr>
        <w:t>违反本办法规定，构成犯罪的，依法追究刑事责任。</w:t>
      </w:r>
    </w:p>
    <w:p w14:paraId="2268B2F9">
      <w:pPr>
        <w:pStyle w:val="3"/>
        <w:bidi w:val="0"/>
      </w:pPr>
      <w:r>
        <w:t>第五章　附　　则</w:t>
      </w:r>
    </w:p>
    <w:p w14:paraId="6EFD22A0">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第二十六条　</w:t>
      </w:r>
      <w:r>
        <w:rPr>
          <w:rFonts w:hint="eastAsia" w:ascii="仿宋_GB2312" w:hAnsi="仿宋_GB2312" w:eastAsia="仿宋_GB2312" w:cs="仿宋_GB2312"/>
          <w:sz w:val="32"/>
          <w:szCs w:val="32"/>
        </w:rPr>
        <w:t>财产补偿登记、变更登记不得向区内居民收取任何费用，所需费用由蓄滞洪区所在地县级人民政府统筹解决。</w:t>
      </w:r>
    </w:p>
    <w:p w14:paraId="0EF5E4F9">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第二十七条　</w:t>
      </w:r>
      <w:r>
        <w:rPr>
          <w:rFonts w:hint="eastAsia" w:ascii="仿宋_GB2312" w:hAnsi="仿宋_GB2312" w:eastAsia="仿宋_GB2312" w:cs="仿宋_GB2312"/>
          <w:sz w:val="32"/>
          <w:szCs w:val="32"/>
        </w:rPr>
        <w:t>省级人民政府批准的防洪规划中确定的蓄滞洪区的运用补偿办法，由有关省级人民政府制定。</w:t>
      </w:r>
    </w:p>
    <w:p w14:paraId="64BE4485">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第二十八条　</w:t>
      </w:r>
      <w:r>
        <w:rPr>
          <w:rFonts w:hint="eastAsia" w:ascii="仿宋_GB2312" w:hAnsi="仿宋_GB2312" w:eastAsia="仿宋_GB2312" w:cs="仿宋_GB2312"/>
          <w:sz w:val="32"/>
          <w:szCs w:val="32"/>
        </w:rPr>
        <w:t>本办法自公布之日起施行。2000年5月27日国务院发布的《蓄滞洪区运用补偿暂行办法》同时废止。</w:t>
      </w:r>
    </w:p>
    <w:p w14:paraId="50E18602">
      <w:pPr>
        <w:pStyle w:val="11"/>
        <w:ind w:firstLine="684" w:firstLineChars="200"/>
        <w:rPr>
          <w:rFonts w:hint="eastAsia" w:ascii="楷体_GB2312" w:hAnsi="楷体_GB2312" w:eastAsia="楷体_GB2312" w:cs="楷体_GB2312"/>
          <w:bCs/>
          <w:spacing w:val="11"/>
          <w:kern w:val="2"/>
          <w:sz w:val="32"/>
          <w:szCs w:val="32"/>
          <w:shd w:val="clear" w:color="auto" w:fill="FFFFFF"/>
          <w:lang w:val="en-US" w:eastAsia="zh-CN" w:bidi="ar-SA"/>
        </w:rPr>
      </w:pP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5148528">
    <w:pPr>
      <w:pStyle w:val="13"/>
    </w:pPr>
    <w:r>
      <w:pict>
        <v:shape id="文本框 7" o:spid="_x0000_s4097"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path/>
          <v:fill on="f" focussize="0,0"/>
          <v:stroke on="f" joinstyle="miter"/>
          <v:imagedata o:title=""/>
          <o:lock v:ext="edit"/>
          <v:textbox inset="0mm,0mm,0mm,0mm" style="mso-fit-shape-to-text:t;">
            <w:txbxContent>
              <w:p w14:paraId="5033BC63">
                <w:pPr>
                  <w:pStyle w:val="13"/>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- 22 -</w:t>
                </w:r>
                <w:r>
                  <w:rPr>
                    <w:rFonts w:hint="eastAsia"/>
                    <w:sz w:val="24"/>
                  </w:rPr>
                  <w:fldChar w:fldCharType="end"/>
                </w:r>
              </w:p>
            </w:txbxContent>
          </v:textbox>
        </v:shape>
      </w:pic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50"/>
  <w:bordersDoNotSurroundHeader w:val="0"/>
  <w:bordersDoNotSurroundFooter w:val="0"/>
  <w:hideSpellingErrors/>
  <w:hideGrammaticalErrors/>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OTk2NmVkYjNiZGQzMjI3MDg4NzEwNTdjZDg4NjI3NjY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B30ED"/>
    <w:rsid w:val="001D2E61"/>
    <w:rsid w:val="001E555F"/>
    <w:rsid w:val="002232B1"/>
    <w:rsid w:val="002262E9"/>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62793"/>
    <w:rsid w:val="00F90210"/>
    <w:rsid w:val="00FA2E60"/>
    <w:rsid w:val="00FA45FB"/>
    <w:rsid w:val="00FB0D0A"/>
    <w:rsid w:val="00FB4416"/>
    <w:rsid w:val="00FB783C"/>
    <w:rsid w:val="00FD082C"/>
    <w:rsid w:val="00FD7678"/>
    <w:rsid w:val="00FD7765"/>
    <w:rsid w:val="00FF0C8C"/>
    <w:rsid w:val="01080A12"/>
    <w:rsid w:val="012B0674"/>
    <w:rsid w:val="0152181F"/>
    <w:rsid w:val="01AB304A"/>
    <w:rsid w:val="01B023D3"/>
    <w:rsid w:val="01CF6706"/>
    <w:rsid w:val="026D2287"/>
    <w:rsid w:val="02982C5B"/>
    <w:rsid w:val="029A493F"/>
    <w:rsid w:val="02B836F8"/>
    <w:rsid w:val="02D3568D"/>
    <w:rsid w:val="03356D16"/>
    <w:rsid w:val="038C592B"/>
    <w:rsid w:val="03947591"/>
    <w:rsid w:val="03985ADA"/>
    <w:rsid w:val="039F0CBD"/>
    <w:rsid w:val="03C9760A"/>
    <w:rsid w:val="04401145"/>
    <w:rsid w:val="051529ED"/>
    <w:rsid w:val="058213F7"/>
    <w:rsid w:val="062E4A77"/>
    <w:rsid w:val="06A0228E"/>
    <w:rsid w:val="06E72AA9"/>
    <w:rsid w:val="07405EF4"/>
    <w:rsid w:val="07424240"/>
    <w:rsid w:val="07560BE7"/>
    <w:rsid w:val="0788080A"/>
    <w:rsid w:val="07E71367"/>
    <w:rsid w:val="089C3067"/>
    <w:rsid w:val="08BC05A4"/>
    <w:rsid w:val="08FF0C17"/>
    <w:rsid w:val="094845F0"/>
    <w:rsid w:val="0963250F"/>
    <w:rsid w:val="09723D9C"/>
    <w:rsid w:val="097F7BAD"/>
    <w:rsid w:val="09B60066"/>
    <w:rsid w:val="0A6920EC"/>
    <w:rsid w:val="0A8C2526"/>
    <w:rsid w:val="0AE962F4"/>
    <w:rsid w:val="0AEB2A0D"/>
    <w:rsid w:val="0B1D5B42"/>
    <w:rsid w:val="0B3D0578"/>
    <w:rsid w:val="0B747385"/>
    <w:rsid w:val="0C255D01"/>
    <w:rsid w:val="0C297D97"/>
    <w:rsid w:val="0D3C4224"/>
    <w:rsid w:val="0D610029"/>
    <w:rsid w:val="0D88679D"/>
    <w:rsid w:val="0DFE10B9"/>
    <w:rsid w:val="0EBE2E9F"/>
    <w:rsid w:val="0EEA5BFB"/>
    <w:rsid w:val="0FB75225"/>
    <w:rsid w:val="107A4DEE"/>
    <w:rsid w:val="10A47D69"/>
    <w:rsid w:val="11366EEC"/>
    <w:rsid w:val="12146020"/>
    <w:rsid w:val="12C10B30"/>
    <w:rsid w:val="12D34430"/>
    <w:rsid w:val="12F06217"/>
    <w:rsid w:val="12FA1CB0"/>
    <w:rsid w:val="13332D5F"/>
    <w:rsid w:val="134372E4"/>
    <w:rsid w:val="134A1994"/>
    <w:rsid w:val="136642BB"/>
    <w:rsid w:val="140F3546"/>
    <w:rsid w:val="142327B5"/>
    <w:rsid w:val="14484CDF"/>
    <w:rsid w:val="155E2CB3"/>
    <w:rsid w:val="156F1E09"/>
    <w:rsid w:val="157124FD"/>
    <w:rsid w:val="15B17054"/>
    <w:rsid w:val="16173655"/>
    <w:rsid w:val="16E85B46"/>
    <w:rsid w:val="174517D7"/>
    <w:rsid w:val="174D6D27"/>
    <w:rsid w:val="18413C16"/>
    <w:rsid w:val="18971E78"/>
    <w:rsid w:val="18C776B0"/>
    <w:rsid w:val="192D02CF"/>
    <w:rsid w:val="198A0A54"/>
    <w:rsid w:val="19DB6C33"/>
    <w:rsid w:val="1A3209E2"/>
    <w:rsid w:val="1A680A2A"/>
    <w:rsid w:val="1AB84DFF"/>
    <w:rsid w:val="1ABC528A"/>
    <w:rsid w:val="1BAF2172"/>
    <w:rsid w:val="1C6F6A7C"/>
    <w:rsid w:val="1C9212F7"/>
    <w:rsid w:val="1D1A78F5"/>
    <w:rsid w:val="1D9A07EC"/>
    <w:rsid w:val="1FE16FBA"/>
    <w:rsid w:val="2096095A"/>
    <w:rsid w:val="20D86240"/>
    <w:rsid w:val="21CB6604"/>
    <w:rsid w:val="21CE0F2E"/>
    <w:rsid w:val="21DE5B7E"/>
    <w:rsid w:val="221D0BEA"/>
    <w:rsid w:val="22DD4281"/>
    <w:rsid w:val="2460080A"/>
    <w:rsid w:val="253620CC"/>
    <w:rsid w:val="25636DDB"/>
    <w:rsid w:val="25981EEB"/>
    <w:rsid w:val="25BF3D61"/>
    <w:rsid w:val="25F044FF"/>
    <w:rsid w:val="26902046"/>
    <w:rsid w:val="26A760E3"/>
    <w:rsid w:val="26C10A61"/>
    <w:rsid w:val="26CA1A3A"/>
    <w:rsid w:val="27680A3B"/>
    <w:rsid w:val="278A0CBD"/>
    <w:rsid w:val="27A96F19"/>
    <w:rsid w:val="27FC5F60"/>
    <w:rsid w:val="2834230D"/>
    <w:rsid w:val="287A18EA"/>
    <w:rsid w:val="28F16720"/>
    <w:rsid w:val="28F8723D"/>
    <w:rsid w:val="29673938"/>
    <w:rsid w:val="2A8D0D45"/>
    <w:rsid w:val="2AB648CF"/>
    <w:rsid w:val="2B01664D"/>
    <w:rsid w:val="2C7458A4"/>
    <w:rsid w:val="2D644059"/>
    <w:rsid w:val="2DBE0D65"/>
    <w:rsid w:val="2DDE6B1E"/>
    <w:rsid w:val="2E0F664D"/>
    <w:rsid w:val="2E1B43B4"/>
    <w:rsid w:val="2ED32E01"/>
    <w:rsid w:val="2F435B16"/>
    <w:rsid w:val="2F592BFE"/>
    <w:rsid w:val="2FF20DF5"/>
    <w:rsid w:val="31230DCD"/>
    <w:rsid w:val="313E5963"/>
    <w:rsid w:val="318138A8"/>
    <w:rsid w:val="31F05688"/>
    <w:rsid w:val="320E2B0A"/>
    <w:rsid w:val="32252208"/>
    <w:rsid w:val="3242780E"/>
    <w:rsid w:val="32645497"/>
    <w:rsid w:val="330D4027"/>
    <w:rsid w:val="3330356C"/>
    <w:rsid w:val="33CF5811"/>
    <w:rsid w:val="34031BBE"/>
    <w:rsid w:val="349C60FB"/>
    <w:rsid w:val="34A76774"/>
    <w:rsid w:val="35095248"/>
    <w:rsid w:val="355560D1"/>
    <w:rsid w:val="358244C4"/>
    <w:rsid w:val="36084F32"/>
    <w:rsid w:val="36620060"/>
    <w:rsid w:val="374E7C24"/>
    <w:rsid w:val="37EB78B4"/>
    <w:rsid w:val="386D21AD"/>
    <w:rsid w:val="387E7233"/>
    <w:rsid w:val="38851898"/>
    <w:rsid w:val="388D0D28"/>
    <w:rsid w:val="39C71577"/>
    <w:rsid w:val="3A7915E5"/>
    <w:rsid w:val="3B1265AF"/>
    <w:rsid w:val="3B596812"/>
    <w:rsid w:val="3BA0652C"/>
    <w:rsid w:val="3C0014BA"/>
    <w:rsid w:val="3C372D12"/>
    <w:rsid w:val="3CA23060"/>
    <w:rsid w:val="3CAF6F9F"/>
    <w:rsid w:val="3CB21257"/>
    <w:rsid w:val="3CDF39C7"/>
    <w:rsid w:val="3D762392"/>
    <w:rsid w:val="3DA85E6B"/>
    <w:rsid w:val="3DFC6899"/>
    <w:rsid w:val="3E3675FB"/>
    <w:rsid w:val="3EEC1919"/>
    <w:rsid w:val="3F2F1CF1"/>
    <w:rsid w:val="3F800236"/>
    <w:rsid w:val="3F8C783C"/>
    <w:rsid w:val="40120BF0"/>
    <w:rsid w:val="40226A0B"/>
    <w:rsid w:val="40C1378F"/>
    <w:rsid w:val="40DC5AC3"/>
    <w:rsid w:val="40F66CF8"/>
    <w:rsid w:val="40FE47B4"/>
    <w:rsid w:val="41B857FD"/>
    <w:rsid w:val="429465D8"/>
    <w:rsid w:val="431B4937"/>
    <w:rsid w:val="434336CE"/>
    <w:rsid w:val="43452348"/>
    <w:rsid w:val="4361706F"/>
    <w:rsid w:val="43CA1521"/>
    <w:rsid w:val="43D46F84"/>
    <w:rsid w:val="444B0E8A"/>
    <w:rsid w:val="45866A2B"/>
    <w:rsid w:val="464E4C2D"/>
    <w:rsid w:val="46D80A88"/>
    <w:rsid w:val="46EE0064"/>
    <w:rsid w:val="47793996"/>
    <w:rsid w:val="47A250A3"/>
    <w:rsid w:val="48AC4D69"/>
    <w:rsid w:val="494B3B16"/>
    <w:rsid w:val="49C224BB"/>
    <w:rsid w:val="4A4F5FBC"/>
    <w:rsid w:val="4A732A37"/>
    <w:rsid w:val="4B2E2D61"/>
    <w:rsid w:val="4CF238AF"/>
    <w:rsid w:val="4D7C1855"/>
    <w:rsid w:val="4DC87E21"/>
    <w:rsid w:val="4E4E7955"/>
    <w:rsid w:val="4E6A2FDF"/>
    <w:rsid w:val="4EDF3D2B"/>
    <w:rsid w:val="4EED79F5"/>
    <w:rsid w:val="505A0C64"/>
    <w:rsid w:val="507E548A"/>
    <w:rsid w:val="5080370D"/>
    <w:rsid w:val="512A1D93"/>
    <w:rsid w:val="5146198F"/>
    <w:rsid w:val="51B9608E"/>
    <w:rsid w:val="51F44E31"/>
    <w:rsid w:val="52350508"/>
    <w:rsid w:val="523F45D1"/>
    <w:rsid w:val="524F6E89"/>
    <w:rsid w:val="52695AB4"/>
    <w:rsid w:val="529D4C7B"/>
    <w:rsid w:val="53495A7C"/>
    <w:rsid w:val="53BF5C69"/>
    <w:rsid w:val="53DA0A43"/>
    <w:rsid w:val="54031803"/>
    <w:rsid w:val="54942BB0"/>
    <w:rsid w:val="559B2DF3"/>
    <w:rsid w:val="55B865F8"/>
    <w:rsid w:val="55C0390E"/>
    <w:rsid w:val="55D520AC"/>
    <w:rsid w:val="566F7832"/>
    <w:rsid w:val="56E91124"/>
    <w:rsid w:val="575D4E2E"/>
    <w:rsid w:val="577F6B33"/>
    <w:rsid w:val="58035B31"/>
    <w:rsid w:val="58F6185E"/>
    <w:rsid w:val="591257DC"/>
    <w:rsid w:val="599F58E0"/>
    <w:rsid w:val="5A2B18C5"/>
    <w:rsid w:val="5AC1029A"/>
    <w:rsid w:val="5B353B99"/>
    <w:rsid w:val="5B6D42C1"/>
    <w:rsid w:val="5B8F703B"/>
    <w:rsid w:val="5C223266"/>
    <w:rsid w:val="5D0B40ED"/>
    <w:rsid w:val="5D101449"/>
    <w:rsid w:val="5DB22BFD"/>
    <w:rsid w:val="5DD739B2"/>
    <w:rsid w:val="5E361890"/>
    <w:rsid w:val="5E900D37"/>
    <w:rsid w:val="5F5011B7"/>
    <w:rsid w:val="5F575403"/>
    <w:rsid w:val="5F88093C"/>
    <w:rsid w:val="5FDB251D"/>
    <w:rsid w:val="60492E1B"/>
    <w:rsid w:val="60FB7125"/>
    <w:rsid w:val="61152047"/>
    <w:rsid w:val="61BA4E90"/>
    <w:rsid w:val="620467BA"/>
    <w:rsid w:val="622D2BEC"/>
    <w:rsid w:val="62F60DE0"/>
    <w:rsid w:val="63DD0DD3"/>
    <w:rsid w:val="640D2936"/>
    <w:rsid w:val="641F5EE8"/>
    <w:rsid w:val="649C0E8F"/>
    <w:rsid w:val="65152017"/>
    <w:rsid w:val="65532802"/>
    <w:rsid w:val="65850215"/>
    <w:rsid w:val="65BF6566"/>
    <w:rsid w:val="665D25F4"/>
    <w:rsid w:val="66E50FB1"/>
    <w:rsid w:val="674048E2"/>
    <w:rsid w:val="67B16815"/>
    <w:rsid w:val="67D71794"/>
    <w:rsid w:val="67DE6474"/>
    <w:rsid w:val="68426F20"/>
    <w:rsid w:val="68715924"/>
    <w:rsid w:val="690324F1"/>
    <w:rsid w:val="69961D4A"/>
    <w:rsid w:val="6A403C00"/>
    <w:rsid w:val="6AFA1E66"/>
    <w:rsid w:val="6B4C7D1B"/>
    <w:rsid w:val="6BA11AAE"/>
    <w:rsid w:val="6C267EB4"/>
    <w:rsid w:val="6C634857"/>
    <w:rsid w:val="6CD653AF"/>
    <w:rsid w:val="6D1363D3"/>
    <w:rsid w:val="6D15429C"/>
    <w:rsid w:val="6D614426"/>
    <w:rsid w:val="6DA577A5"/>
    <w:rsid w:val="6DB8609B"/>
    <w:rsid w:val="6DB87D30"/>
    <w:rsid w:val="6E804287"/>
    <w:rsid w:val="6EB30283"/>
    <w:rsid w:val="6F605325"/>
    <w:rsid w:val="6FB31911"/>
    <w:rsid w:val="70817970"/>
    <w:rsid w:val="712B5699"/>
    <w:rsid w:val="71DE60AD"/>
    <w:rsid w:val="72A30A90"/>
    <w:rsid w:val="72AE5309"/>
    <w:rsid w:val="72C042BE"/>
    <w:rsid w:val="73014D0C"/>
    <w:rsid w:val="735A6A5C"/>
    <w:rsid w:val="73AF3C73"/>
    <w:rsid w:val="74616A28"/>
    <w:rsid w:val="746D1278"/>
    <w:rsid w:val="7505608B"/>
    <w:rsid w:val="762C29D0"/>
    <w:rsid w:val="76635F01"/>
    <w:rsid w:val="76975133"/>
    <w:rsid w:val="769B60FD"/>
    <w:rsid w:val="76C10F77"/>
    <w:rsid w:val="77D8678E"/>
    <w:rsid w:val="77E21F3F"/>
    <w:rsid w:val="78061DFD"/>
    <w:rsid w:val="7814798C"/>
    <w:rsid w:val="7819740D"/>
    <w:rsid w:val="781E454A"/>
    <w:rsid w:val="789F59B2"/>
    <w:rsid w:val="78E10B53"/>
    <w:rsid w:val="78ED2B64"/>
    <w:rsid w:val="7A224A32"/>
    <w:rsid w:val="7A4B0114"/>
    <w:rsid w:val="7A6D55E9"/>
    <w:rsid w:val="7ABD49CD"/>
    <w:rsid w:val="7BA85469"/>
    <w:rsid w:val="7C0E15E2"/>
    <w:rsid w:val="7C28250F"/>
    <w:rsid w:val="7C8178AE"/>
    <w:rsid w:val="7CFB06AD"/>
    <w:rsid w:val="7D0E2676"/>
    <w:rsid w:val="7DAE41EC"/>
    <w:rsid w:val="7E0776A9"/>
    <w:rsid w:val="7E600C51"/>
    <w:rsid w:val="7E6C694C"/>
    <w:rsid w:val="7E8622B0"/>
    <w:rsid w:val="7ED17F92"/>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name="Hyperlink"/>
    <w:lsdException w:qFormat="1"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qFormat="1"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29"/>
    <w:autoRedefine/>
    <w:qFormat/>
    <w:uiPriority w:val="9"/>
    <w:pPr>
      <w:keepNext/>
      <w:keepLines/>
      <w:spacing w:before="340" w:after="330" w:line="578" w:lineRule="auto"/>
      <w:jc w:val="center"/>
      <w:outlineLvl w:val="0"/>
    </w:pPr>
    <w:rPr>
      <w:rFonts w:eastAsia="黑体" w:asciiTheme="minorHAnsi" w:hAnsiTheme="minorHAnsi" w:cstheme="minorBidi"/>
      <w:bCs/>
      <w:kern w:val="44"/>
      <w:sz w:val="32"/>
      <w:szCs w:val="44"/>
    </w:rPr>
  </w:style>
  <w:style w:type="paragraph" w:styleId="3">
    <w:name w:val="heading 2"/>
    <w:basedOn w:val="1"/>
    <w:next w:val="1"/>
    <w:link w:val="30"/>
    <w:autoRedefine/>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31"/>
    <w:autoRedefine/>
    <w:unhideWhenUsed/>
    <w:qFormat/>
    <w:uiPriority w:val="9"/>
    <w:pPr>
      <w:keepNext/>
      <w:keepLines/>
      <w:spacing w:before="260" w:after="260" w:line="416" w:lineRule="auto"/>
      <w:jc w:val="center"/>
      <w:outlineLvl w:val="2"/>
    </w:pPr>
    <w:rPr>
      <w:rFonts w:eastAsia="方正楷体_GBK" w:asciiTheme="minorHAnsi" w:hAnsiTheme="minorHAnsi" w:cstheme="minorBidi"/>
      <w:b/>
      <w:bCs/>
      <w:sz w:val="32"/>
      <w:szCs w:val="32"/>
    </w:rPr>
  </w:style>
  <w:style w:type="paragraph" w:styleId="5">
    <w:name w:val="heading 4"/>
    <w:basedOn w:val="1"/>
    <w:next w:val="1"/>
    <w:link w:val="32"/>
    <w:autoRedefine/>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33"/>
    <w:autoRedefine/>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34"/>
    <w:autoRedefine/>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35"/>
    <w:autoRedefine/>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36"/>
    <w:autoRedefine/>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20">
    <w:name w:val="Default Paragraph Font"/>
    <w:autoRedefine/>
    <w:unhideWhenUsed/>
    <w:qFormat/>
    <w:uiPriority w:val="1"/>
  </w:style>
  <w:style w:type="table" w:default="1" w:styleId="18">
    <w:name w:val="Normal Table"/>
    <w:autoRedefine/>
    <w:semiHidden/>
    <w:unhideWhenUsed/>
    <w:qFormat/>
    <w:uiPriority w:val="99"/>
    <w:tblPr>
      <w:tblCellMar>
        <w:top w:w="0" w:type="dxa"/>
        <w:left w:w="108" w:type="dxa"/>
        <w:bottom w:w="0" w:type="dxa"/>
        <w:right w:w="108" w:type="dxa"/>
      </w:tblCellMar>
    </w:tblPr>
  </w:style>
  <w:style w:type="paragraph" w:styleId="10">
    <w:name w:val="Body Text Indent"/>
    <w:basedOn w:val="1"/>
    <w:next w:val="1"/>
    <w:link w:val="39"/>
    <w:autoRedefine/>
    <w:unhideWhenUsed/>
    <w:qFormat/>
    <w:uiPriority w:val="99"/>
    <w:pPr>
      <w:spacing w:before="100" w:beforeAutospacing="1" w:after="120"/>
      <w:ind w:left="200" w:leftChars="200"/>
    </w:pPr>
    <w:rPr>
      <w:szCs w:val="21"/>
    </w:rPr>
  </w:style>
  <w:style w:type="paragraph" w:styleId="11">
    <w:name w:val="Plain Text"/>
    <w:basedOn w:val="1"/>
    <w:link w:val="26"/>
    <w:autoRedefine/>
    <w:unhideWhenUsed/>
    <w:qFormat/>
    <w:uiPriority w:val="99"/>
    <w:rPr>
      <w:rFonts w:ascii="宋体" w:hAnsi="Courier New" w:cs="Courier New"/>
      <w:szCs w:val="21"/>
    </w:rPr>
  </w:style>
  <w:style w:type="paragraph" w:styleId="12">
    <w:name w:val="Balloon Text"/>
    <w:basedOn w:val="1"/>
    <w:link w:val="37"/>
    <w:autoRedefine/>
    <w:semiHidden/>
    <w:unhideWhenUsed/>
    <w:qFormat/>
    <w:uiPriority w:val="99"/>
    <w:rPr>
      <w:rFonts w:asciiTheme="minorHAnsi" w:hAnsiTheme="minorHAnsi" w:eastAsiaTheme="minorEastAsia" w:cstheme="minorBidi"/>
      <w:sz w:val="18"/>
      <w:szCs w:val="18"/>
    </w:rPr>
  </w:style>
  <w:style w:type="paragraph" w:styleId="13">
    <w:name w:val="footer"/>
    <w:basedOn w:val="1"/>
    <w:link w:val="41"/>
    <w:autoRedefine/>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14">
    <w:name w:val="header"/>
    <w:basedOn w:val="1"/>
    <w:link w:val="27"/>
    <w:autoRedefine/>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5">
    <w:name w:val="footnote text"/>
    <w:basedOn w:val="1"/>
    <w:autoRedefine/>
    <w:semiHidden/>
    <w:unhideWhenUsed/>
    <w:qFormat/>
    <w:uiPriority w:val="99"/>
    <w:pPr>
      <w:snapToGrid w:val="0"/>
      <w:jc w:val="left"/>
    </w:pPr>
    <w:rPr>
      <w:rFonts w:asciiTheme="minorHAnsi" w:hAnsiTheme="minorHAnsi" w:eastAsiaTheme="minorEastAsia" w:cstheme="minorBidi"/>
      <w:sz w:val="18"/>
      <w:szCs w:val="18"/>
    </w:rPr>
  </w:style>
  <w:style w:type="paragraph" w:styleId="16">
    <w:name w:val="Normal (Web)"/>
    <w:basedOn w:val="1"/>
    <w:autoRedefine/>
    <w:unhideWhenUsed/>
    <w:qFormat/>
    <w:uiPriority w:val="99"/>
    <w:pPr>
      <w:widowControl/>
      <w:spacing w:beforeAutospacing="1" w:afterAutospacing="1"/>
      <w:jc w:val="left"/>
    </w:pPr>
    <w:rPr>
      <w:rFonts w:hint="eastAsia" w:ascii="宋体" w:hAnsi="宋体"/>
      <w:kern w:val="0"/>
      <w:sz w:val="24"/>
      <w:szCs w:val="24"/>
    </w:rPr>
  </w:style>
  <w:style w:type="paragraph" w:styleId="17">
    <w:name w:val="Title"/>
    <w:basedOn w:val="1"/>
    <w:next w:val="1"/>
    <w:link w:val="40"/>
    <w:qFormat/>
    <w:uiPriority w:val="10"/>
    <w:pPr>
      <w:spacing w:before="240" w:after="60"/>
      <w:jc w:val="center"/>
      <w:outlineLvl w:val="0"/>
    </w:pPr>
    <w:rPr>
      <w:rFonts w:ascii="Cambria" w:hAnsi="Cambria"/>
      <w:b/>
      <w:sz w:val="32"/>
      <w:szCs w:val="32"/>
    </w:rPr>
  </w:style>
  <w:style w:type="table" w:styleId="19">
    <w:name w:val="Table Grid"/>
    <w:basedOn w:val="18"/>
    <w:autoRedefine/>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1">
    <w:name w:val="Strong"/>
    <w:basedOn w:val="20"/>
    <w:qFormat/>
    <w:uiPriority w:val="22"/>
    <w:rPr>
      <w:b/>
    </w:rPr>
  </w:style>
  <w:style w:type="character" w:styleId="22">
    <w:name w:val="FollowedHyperlink"/>
    <w:basedOn w:val="20"/>
    <w:autoRedefine/>
    <w:semiHidden/>
    <w:unhideWhenUsed/>
    <w:qFormat/>
    <w:uiPriority w:val="99"/>
    <w:rPr>
      <w:color w:val="000000"/>
      <w:u w:val="none"/>
    </w:rPr>
  </w:style>
  <w:style w:type="character" w:styleId="23">
    <w:name w:val="Hyperlink"/>
    <w:basedOn w:val="20"/>
    <w:autoRedefine/>
    <w:semiHidden/>
    <w:unhideWhenUsed/>
    <w:qFormat/>
    <w:uiPriority w:val="99"/>
    <w:rPr>
      <w:color w:val="000000"/>
      <w:u w:val="none"/>
    </w:rPr>
  </w:style>
  <w:style w:type="character" w:styleId="24">
    <w:name w:val="HTML Code"/>
    <w:basedOn w:val="20"/>
    <w:autoRedefine/>
    <w:semiHidden/>
    <w:unhideWhenUsed/>
    <w:qFormat/>
    <w:uiPriority w:val="99"/>
    <w:rPr>
      <w:rFonts w:ascii="Courier New" w:hAnsi="Courier New"/>
      <w:sz w:val="20"/>
    </w:rPr>
  </w:style>
  <w:style w:type="character" w:styleId="25">
    <w:name w:val="footnote reference"/>
    <w:basedOn w:val="20"/>
    <w:autoRedefine/>
    <w:semiHidden/>
    <w:unhideWhenUsed/>
    <w:qFormat/>
    <w:uiPriority w:val="99"/>
    <w:rPr>
      <w:vertAlign w:val="superscript"/>
    </w:rPr>
  </w:style>
  <w:style w:type="character" w:customStyle="1" w:styleId="26">
    <w:name w:val="纯文本 Char"/>
    <w:basedOn w:val="20"/>
    <w:link w:val="11"/>
    <w:autoRedefine/>
    <w:qFormat/>
    <w:uiPriority w:val="99"/>
    <w:rPr>
      <w:rFonts w:ascii="宋体" w:hAnsi="Courier New" w:eastAsia="宋体" w:cs="Courier New"/>
      <w:szCs w:val="21"/>
    </w:rPr>
  </w:style>
  <w:style w:type="character" w:customStyle="1" w:styleId="27">
    <w:name w:val="页眉 Char"/>
    <w:basedOn w:val="20"/>
    <w:link w:val="14"/>
    <w:qFormat/>
    <w:uiPriority w:val="99"/>
    <w:rPr>
      <w:sz w:val="18"/>
      <w:szCs w:val="18"/>
    </w:rPr>
  </w:style>
  <w:style w:type="character" w:customStyle="1" w:styleId="28">
    <w:name w:val="页脚 Char"/>
    <w:basedOn w:val="20"/>
    <w:link w:val="13"/>
    <w:qFormat/>
    <w:uiPriority w:val="99"/>
    <w:rPr>
      <w:sz w:val="18"/>
      <w:szCs w:val="18"/>
    </w:rPr>
  </w:style>
  <w:style w:type="character" w:customStyle="1" w:styleId="29">
    <w:name w:val="标题 1 Char"/>
    <w:basedOn w:val="20"/>
    <w:link w:val="2"/>
    <w:qFormat/>
    <w:uiPriority w:val="9"/>
    <w:rPr>
      <w:rFonts w:eastAsia="黑体" w:asciiTheme="minorHAnsi" w:hAnsiTheme="minorHAnsi"/>
      <w:bCs/>
      <w:kern w:val="44"/>
      <w:sz w:val="32"/>
      <w:szCs w:val="44"/>
    </w:rPr>
  </w:style>
  <w:style w:type="character" w:customStyle="1" w:styleId="30">
    <w:name w:val="标题 2 Char"/>
    <w:basedOn w:val="20"/>
    <w:link w:val="3"/>
    <w:semiHidden/>
    <w:qFormat/>
    <w:uiPriority w:val="9"/>
    <w:rPr>
      <w:rFonts w:eastAsia="方正黑体_GBK" w:asciiTheme="majorHAnsi" w:hAnsiTheme="majorHAnsi" w:cstheme="majorBidi"/>
      <w:bCs/>
      <w:sz w:val="32"/>
      <w:szCs w:val="32"/>
    </w:rPr>
  </w:style>
  <w:style w:type="character" w:customStyle="1" w:styleId="31">
    <w:name w:val="标题 3 Char"/>
    <w:basedOn w:val="20"/>
    <w:link w:val="4"/>
    <w:autoRedefine/>
    <w:semiHidden/>
    <w:qFormat/>
    <w:uiPriority w:val="9"/>
    <w:rPr>
      <w:rFonts w:eastAsia="方正楷体_GBK" w:asciiTheme="minorHAnsi" w:hAnsiTheme="minorHAnsi"/>
      <w:b/>
      <w:bCs/>
      <w:sz w:val="32"/>
      <w:szCs w:val="32"/>
    </w:rPr>
  </w:style>
  <w:style w:type="character" w:customStyle="1" w:styleId="32">
    <w:name w:val="标题 4 Char"/>
    <w:basedOn w:val="20"/>
    <w:link w:val="5"/>
    <w:autoRedefine/>
    <w:semiHidden/>
    <w:qFormat/>
    <w:uiPriority w:val="9"/>
    <w:rPr>
      <w:rFonts w:asciiTheme="majorHAnsi" w:hAnsiTheme="majorHAnsi" w:eastAsiaTheme="majorEastAsia" w:cstheme="majorBidi"/>
      <w:b/>
      <w:bCs/>
      <w:sz w:val="28"/>
      <w:szCs w:val="28"/>
    </w:rPr>
  </w:style>
  <w:style w:type="character" w:customStyle="1" w:styleId="33">
    <w:name w:val="标题 5 Char"/>
    <w:basedOn w:val="20"/>
    <w:link w:val="6"/>
    <w:autoRedefine/>
    <w:semiHidden/>
    <w:qFormat/>
    <w:uiPriority w:val="9"/>
    <w:rPr>
      <w:b/>
      <w:bCs/>
      <w:sz w:val="28"/>
      <w:szCs w:val="28"/>
    </w:rPr>
  </w:style>
  <w:style w:type="character" w:customStyle="1" w:styleId="34">
    <w:name w:val="标题 6 Char"/>
    <w:basedOn w:val="20"/>
    <w:link w:val="7"/>
    <w:autoRedefine/>
    <w:semiHidden/>
    <w:qFormat/>
    <w:uiPriority w:val="9"/>
    <w:rPr>
      <w:rFonts w:asciiTheme="majorHAnsi" w:hAnsiTheme="majorHAnsi" w:eastAsiaTheme="majorEastAsia" w:cstheme="majorBidi"/>
      <w:b/>
      <w:bCs/>
      <w:sz w:val="24"/>
      <w:szCs w:val="24"/>
    </w:rPr>
  </w:style>
  <w:style w:type="character" w:customStyle="1" w:styleId="35">
    <w:name w:val="标题 7 Char"/>
    <w:basedOn w:val="20"/>
    <w:link w:val="8"/>
    <w:autoRedefine/>
    <w:semiHidden/>
    <w:qFormat/>
    <w:uiPriority w:val="9"/>
    <w:rPr>
      <w:b/>
      <w:bCs/>
      <w:sz w:val="24"/>
      <w:szCs w:val="24"/>
    </w:rPr>
  </w:style>
  <w:style w:type="character" w:customStyle="1" w:styleId="36">
    <w:name w:val="标题 8 Char"/>
    <w:basedOn w:val="20"/>
    <w:link w:val="9"/>
    <w:autoRedefine/>
    <w:semiHidden/>
    <w:qFormat/>
    <w:uiPriority w:val="9"/>
    <w:rPr>
      <w:rFonts w:asciiTheme="majorHAnsi" w:hAnsiTheme="majorHAnsi" w:eastAsiaTheme="majorEastAsia" w:cstheme="majorBidi"/>
      <w:sz w:val="24"/>
      <w:szCs w:val="24"/>
    </w:rPr>
  </w:style>
  <w:style w:type="character" w:customStyle="1" w:styleId="37">
    <w:name w:val="批注框文本 Char"/>
    <w:basedOn w:val="20"/>
    <w:link w:val="12"/>
    <w:autoRedefine/>
    <w:semiHidden/>
    <w:qFormat/>
    <w:uiPriority w:val="99"/>
    <w:rPr>
      <w:kern w:val="2"/>
      <w:sz w:val="18"/>
      <w:szCs w:val="18"/>
    </w:rPr>
  </w:style>
  <w:style w:type="character" w:customStyle="1" w:styleId="38">
    <w:name w:val="15"/>
    <w:basedOn w:val="20"/>
    <w:autoRedefine/>
    <w:qFormat/>
    <w:uiPriority w:val="0"/>
    <w:rPr>
      <w:rFonts w:hint="default" w:ascii="Times New Roman" w:hAnsi="Times New Roman" w:cs="Times New Roman"/>
      <w:b/>
      <w:bCs/>
    </w:rPr>
  </w:style>
  <w:style w:type="character" w:customStyle="1" w:styleId="39">
    <w:name w:val="正文文本缩进 Char"/>
    <w:basedOn w:val="20"/>
    <w:link w:val="10"/>
    <w:autoRedefine/>
    <w:qFormat/>
    <w:uiPriority w:val="99"/>
    <w:rPr>
      <w:rFonts w:ascii="Times New Roman" w:hAnsi="Times New Roman" w:eastAsia="宋体" w:cs="Times New Roman"/>
      <w:kern w:val="2"/>
      <w:sz w:val="21"/>
      <w:szCs w:val="21"/>
    </w:rPr>
  </w:style>
  <w:style w:type="character" w:customStyle="1" w:styleId="40">
    <w:name w:val="标题 Char"/>
    <w:basedOn w:val="20"/>
    <w:link w:val="17"/>
    <w:autoRedefine/>
    <w:qFormat/>
    <w:uiPriority w:val="0"/>
    <w:rPr>
      <w:rFonts w:hint="default" w:ascii="Cambria" w:hAnsi="Cambria" w:eastAsia="宋体" w:cs="Cambria"/>
      <w:b/>
      <w:kern w:val="2"/>
      <w:sz w:val="32"/>
      <w:szCs w:val="32"/>
    </w:rPr>
  </w:style>
  <w:style w:type="character" w:customStyle="1" w:styleId="41">
    <w:name w:val="页脚 Char1"/>
    <w:basedOn w:val="20"/>
    <w:link w:val="13"/>
    <w:autoRedefine/>
    <w:qFormat/>
    <w:uiPriority w:val="0"/>
    <w:rPr>
      <w:rFonts w:hint="default" w:ascii="Times New Roman" w:hAnsi="Times New Roman" w:eastAsia="宋体" w:cs="Times New Roman"/>
      <w:kern w:val="2"/>
      <w:sz w:val="18"/>
      <w:szCs w:val="18"/>
    </w:rPr>
  </w:style>
  <w:style w:type="character" w:customStyle="1" w:styleId="42">
    <w:name w:val="tabg"/>
    <w:basedOn w:val="20"/>
    <w:autoRedefine/>
    <w:qFormat/>
    <w:uiPriority w:val="0"/>
    <w:rPr>
      <w:color w:val="FFFFFF"/>
      <w:sz w:val="27"/>
      <w:szCs w:val="27"/>
    </w:rPr>
  </w:style>
  <w:style w:type="character" w:customStyle="1" w:styleId="43">
    <w:name w:val="font"/>
    <w:basedOn w:val="20"/>
    <w:autoRedefine/>
    <w:qFormat/>
    <w:uiPriority w:val="0"/>
  </w:style>
  <w:style w:type="character" w:customStyle="1" w:styleId="44">
    <w:name w:val="font1"/>
    <w:basedOn w:val="20"/>
    <w:autoRedefine/>
    <w:qFormat/>
    <w:uiPriority w:val="0"/>
  </w:style>
  <w:style w:type="character" w:customStyle="1" w:styleId="45">
    <w:name w:val="bg01"/>
    <w:basedOn w:val="20"/>
    <w:autoRedefine/>
    <w:qFormat/>
    <w:uiPriority w:val="0"/>
  </w:style>
  <w:style w:type="character" w:customStyle="1" w:styleId="46">
    <w:name w:val="m01"/>
    <w:basedOn w:val="20"/>
    <w:autoRedefine/>
    <w:qFormat/>
    <w:uiPriority w:val="0"/>
  </w:style>
  <w:style w:type="character" w:customStyle="1" w:styleId="47">
    <w:name w:val="m011"/>
    <w:basedOn w:val="20"/>
    <w:autoRedefine/>
    <w:qFormat/>
    <w:uiPriority w:val="0"/>
  </w:style>
  <w:style w:type="character" w:customStyle="1" w:styleId="48">
    <w:name w:val="name"/>
    <w:basedOn w:val="20"/>
    <w:autoRedefine/>
    <w:qFormat/>
    <w:uiPriority w:val="0"/>
    <w:rPr>
      <w:color w:val="6A6A6A"/>
      <w:u w:val="single"/>
    </w:rPr>
  </w:style>
  <w:style w:type="character" w:customStyle="1" w:styleId="49">
    <w:name w:val="dates"/>
    <w:basedOn w:val="20"/>
    <w:autoRedefine/>
    <w:qFormat/>
    <w:uiPriority w:val="0"/>
  </w:style>
  <w:style w:type="character" w:customStyle="1" w:styleId="50">
    <w:name w:val="bg02"/>
    <w:basedOn w:val="20"/>
    <w:autoRedefine/>
    <w:qFormat/>
    <w:uiPriority w:val="0"/>
  </w:style>
  <w:style w:type="character" w:customStyle="1" w:styleId="51">
    <w:name w:val="more4"/>
    <w:basedOn w:val="20"/>
    <w:autoRedefine/>
    <w:qFormat/>
    <w:uiPriority w:val="0"/>
    <w:rPr>
      <w:color w:val="666666"/>
      <w:sz w:val="18"/>
      <w:szCs w:val="18"/>
    </w:rPr>
  </w:style>
  <w:style w:type="character" w:customStyle="1" w:styleId="52">
    <w:name w:val="laypage_curr"/>
    <w:basedOn w:val="20"/>
    <w:autoRedefine/>
    <w:qFormat/>
    <w:uiPriority w:val="0"/>
    <w:rPr>
      <w:color w:val="FFFDF4"/>
      <w:shd w:val="clear" w:fill="0B67A6"/>
    </w:rPr>
  </w:style>
  <w:style w:type="character" w:customStyle="1" w:styleId="53">
    <w:name w:val="hover15"/>
    <w:basedOn w:val="20"/>
    <w:autoRedefine/>
    <w:qFormat/>
    <w:uiPriority w:val="0"/>
    <w:rPr>
      <w:color w:val="015293"/>
    </w:rPr>
  </w:style>
  <w:style w:type="character" w:customStyle="1" w:styleId="54">
    <w:name w:val="hover19"/>
    <w:basedOn w:val="20"/>
    <w:autoRedefine/>
    <w:qFormat/>
    <w:uiPriority w:val="0"/>
    <w:rPr>
      <w:color w:val="015293"/>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4097"/>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8</Pages>
  <Words>1623</Words>
  <Characters>1640</Characters>
  <Lines>69</Lines>
  <Paragraphs>19</Paragraphs>
  <TotalTime>1</TotalTime>
  <ScaleCrop>false</ScaleCrop>
  <LinksUpToDate>false</LinksUpToDate>
  <CharactersWithSpaces>1656</CharactersWithSpaces>
  <Application>WPS Office_12.1.0.21541_F1E327BC-269C-435d-A152-05C5408002CA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李建荣</cp:lastModifiedBy>
  <dcterms:modified xsi:type="dcterms:W3CDTF">2025-06-29T03:12:13Z</dcterms:modified>
  <cp:revision>32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2052-12.1.0.21541</vt:lpwstr>
  </property>
  <property fmtid="{D5CDD505-2E9C-101B-9397-08002B2CF9AE}" pid="3" name="ICV">
    <vt:lpwstr>AAC7F7B6F5494A41BADB80700CA67999</vt:lpwstr>
  </property>
  <property fmtid="{D5CDD505-2E9C-101B-9397-08002B2CF9AE}" pid="4" name="KSOTemplateDocerSaveRecord">
    <vt:lpwstr>eyJoZGlkIjoiOTk2NmVkYjNiZGQzMjI3MDg4NzEwNTdjZDg4NjI3NjYiLCJ1c2VySWQiOiI3MDY4OTMwMTcifQ==</vt:lpwstr>
  </property>
</Properties>
</file>