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9698AA">
      <w:pPr>
        <w:pStyle w:val="10"/>
        <w:jc w:val="center"/>
        <w:rPr>
          <w:rFonts w:ascii="Times New Roman" w:hAnsi="Times New Roman" w:cs="Times New Roman"/>
          <w:sz w:val="44"/>
          <w:szCs w:val="44"/>
        </w:rPr>
      </w:pPr>
    </w:p>
    <w:p w14:paraId="506BB914">
      <w:pPr>
        <w:pStyle w:val="10"/>
        <w:jc w:val="center"/>
        <w:rPr>
          <w:rFonts w:ascii="Times New Roman" w:hAnsi="Times New Roman" w:cs="Times New Roman"/>
          <w:sz w:val="32"/>
          <w:szCs w:val="32"/>
        </w:rPr>
      </w:pPr>
      <w:r>
        <w:rPr>
          <w:rFonts w:ascii="Times New Roman" w:hAnsi="Times New Roman" w:cs="Times New Roman"/>
          <w:sz w:val="44"/>
          <w:szCs w:val="44"/>
        </w:rPr>
        <w:t>公共场所卫生管理条例</w:t>
      </w:r>
    </w:p>
    <w:p w14:paraId="4FA80FE7">
      <w:pPr>
        <w:pStyle w:val="10"/>
        <w:jc w:val="center"/>
        <w:rPr>
          <w:rFonts w:ascii="Times New Roman" w:hAnsi="Times New Roman" w:cs="Times New Roman"/>
          <w:sz w:val="32"/>
          <w:szCs w:val="32"/>
        </w:rPr>
      </w:pPr>
    </w:p>
    <w:p w14:paraId="7D76F060">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(1987年4月1日国务院发布　根据2016年2月6日《国务院关于修改部分行政法规的决定》第一次修订　根据2019年4月23</w:t>
      </w:r>
      <w:r>
        <w:rPr>
          <w:rFonts w:hint="eastAsia" w:ascii="楷体_GB2312" w:hAnsi="楷体_GB2312" w:eastAsia="楷体_GB2312" w:cs="楷体_GB2312"/>
          <w:spacing w:val="-6"/>
          <w:sz w:val="32"/>
          <w:szCs w:val="32"/>
        </w:rPr>
        <w:t>日《国务院关于修改部分行政法规的决定》第二次修订　</w:t>
      </w:r>
      <w:r>
        <w:rPr>
          <w:rFonts w:hint="eastAsia" w:ascii="楷体_GB2312" w:hAnsi="楷体_GB2312" w:eastAsia="楷体_GB2312" w:cs="楷体_GB2312"/>
          <w:sz w:val="32"/>
          <w:szCs w:val="32"/>
        </w:rPr>
        <w:t>根据2024年12月6日《国务院关于修改和废止部分行政法规的决定》第三次修订)</w:t>
      </w:r>
    </w:p>
    <w:p w14:paraId="56F07C73">
      <w:pPr>
        <w:pStyle w:val="3"/>
      </w:pPr>
      <w:r>
        <w:rPr>
          <w:rFonts w:ascii="Times New Roman" w:hAnsi="Times New Roman" w:cs="Times New Roman"/>
        </w:rPr>
        <w:t>第一章　总　　则</w:t>
      </w:r>
    </w:p>
    <w:p w14:paraId="62E31F1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为创造良好的公共场所卫生条件，预防疾病，保障人体健康，制定本条例。</w:t>
      </w:r>
    </w:p>
    <w:p w14:paraId="3E2BC07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本条例适用于下列公共场所：</w:t>
      </w:r>
    </w:p>
    <w:p w14:paraId="2F8387A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(一)宾馆、旅店、招待所；</w:t>
      </w:r>
    </w:p>
    <w:p w14:paraId="63F7ACC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(二)公共浴室、理发店、美容店；</w:t>
      </w:r>
    </w:p>
    <w:p w14:paraId="2FACB82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(三)影剧院、录像厅(室)、游艺厅(室)、舞厅、音乐厅；</w:t>
      </w:r>
    </w:p>
    <w:p w14:paraId="1021397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(四)体育场(馆)、游泳场(馆)、公园；</w:t>
      </w:r>
    </w:p>
    <w:p w14:paraId="65A62B6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(五)展览馆、博物馆、美术馆、图书馆；</w:t>
      </w:r>
    </w:p>
    <w:p w14:paraId="32DCB9F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(六)商场(店)、书店；</w:t>
      </w:r>
    </w:p>
    <w:p w14:paraId="58D7B3A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(七)候诊室、候车(机、船)室、公共交通工具。</w:t>
      </w:r>
    </w:p>
    <w:p w14:paraId="661466A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公共场所的下列项目应符合国家卫生标准和要求：</w:t>
      </w:r>
    </w:p>
    <w:p w14:paraId="37B33C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(一)空气、微小气候(湿度、温度、风速)；</w:t>
      </w:r>
    </w:p>
    <w:p w14:paraId="72223C6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(二)水质；</w:t>
      </w:r>
    </w:p>
    <w:p w14:paraId="2673F93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(三)采光、照明；</w:t>
      </w:r>
    </w:p>
    <w:p w14:paraId="4A2D471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(四)噪音；</w:t>
      </w:r>
    </w:p>
    <w:p w14:paraId="460D247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(五)顾客用具和卫生设施。</w:t>
      </w:r>
    </w:p>
    <w:p w14:paraId="013C73F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公共场所的卫生标准和要求，由国务院疾病预防控制部门负责制定。</w:t>
      </w:r>
    </w:p>
    <w:p w14:paraId="0738E3C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国家对公共场所实行“卫生许可证”制度。</w:t>
      </w:r>
    </w:p>
    <w:p w14:paraId="2C87337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“卫生许可证”由设区的市级、县级人民政府疾病预防控制部门签发。</w:t>
      </w:r>
    </w:p>
    <w:p w14:paraId="59CE5055">
      <w:pPr>
        <w:pStyle w:val="3"/>
      </w:pPr>
      <w:r>
        <w:t>第二章　卫生管理</w:t>
      </w:r>
    </w:p>
    <w:p w14:paraId="5AECA4E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公共场所的主管部门应当建立卫生管理制度，配备专职或者兼职卫生管理人员，对所属经营单位(包括个体经营者，下同)的卫生状况进行经常性检查，并提供必要的条件。</w:t>
      </w:r>
    </w:p>
    <w:p w14:paraId="437E45B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经营单位应当负责所经营的公共场所的卫生管理，建立卫生责任制度，对本单位的从业人员进行卫生知识的培训和考核工作。</w:t>
      </w:r>
    </w:p>
    <w:p w14:paraId="5E4598F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公共场所直接为顾客服务的人员，持有“健康合格证”方能从事本职工作。患有痢疾、伤寒、病毒性肝炎、活动期肺结核、化脓性或者渗出性皮肤病以及其他有碍公共卫生的疾病的，治愈前不得从事直接为顾客服务的工作。</w:t>
      </w:r>
    </w:p>
    <w:p w14:paraId="40F2585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除公园、体育场（馆）、公共交通工具和本条第二款规定的实行卫生备案管理的公共场所外，经营单位应当在营业前向设区的市级、县级人民政府疾病预防控制部门申请办理“卫生许可证”。</w:t>
      </w:r>
    </w:p>
    <w:p w14:paraId="2F09C52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录像厅（室）、音乐厅、展览馆、博物馆、美术馆、图书馆、书店的经营单位应当在营业之日起30天内向设区的市级、县级人民政府疾病预防控制部门办理卫生备案。</w:t>
      </w:r>
    </w:p>
    <w:p w14:paraId="24DDFE7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公共场所因不符合卫生标准和要求造成危害健康事故的，经营单位应妥善处理，并及时报告卫生防疫机构。</w:t>
      </w:r>
    </w:p>
    <w:p w14:paraId="737871D3">
      <w:pPr>
        <w:pStyle w:val="3"/>
      </w:pPr>
      <w:r>
        <w:t>第三章　卫生监督</w:t>
      </w:r>
    </w:p>
    <w:p w14:paraId="6EB38DE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各级卫生防疫机构，负责管辖范围内的公共场所卫生监督工作。</w:t>
      </w:r>
    </w:p>
    <w:p w14:paraId="7956F60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民航、铁路、交通、</w:t>
      </w:r>
      <w:r>
        <w:rPr>
          <w:rFonts w:hint="eastAsia" w:ascii="仿宋_GB2312" w:hAnsi="仿宋_GB2312" w:eastAsia="仿宋_GB2312" w:cs="仿宋_GB2312"/>
          <w:spacing w:val="6"/>
          <w:sz w:val="32"/>
          <w:szCs w:val="32"/>
        </w:rPr>
        <w:t>厂(场)矿卫生防疫机构对管辖范围内的公共场所，施行卫生监督，并接受当地卫生防疫机构的业务</w:t>
      </w:r>
      <w:r>
        <w:rPr>
          <w:rFonts w:hint="eastAsia" w:ascii="仿宋_GB2312" w:hAnsi="仿宋_GB2312" w:eastAsia="仿宋_GB2312" w:cs="仿宋_GB2312"/>
          <w:sz w:val="32"/>
          <w:szCs w:val="32"/>
        </w:rPr>
        <w:t>指导。</w:t>
      </w:r>
    </w:p>
    <w:p w14:paraId="1829968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卫生防疫机构根据需要设立公共场所卫生监督员，执行卫生防疫机构交给的任务。公共场所卫生监督员由同级人民政府发给证书。</w:t>
      </w:r>
    </w:p>
    <w:p w14:paraId="0E7FA79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民航、铁路、交通、工矿企业卫生防疫机构的公共场所卫生监督员，由其上级主管部门发给证书。</w:t>
      </w:r>
    </w:p>
    <w:p w14:paraId="524DCFD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卫生防疫机构对公共场所的卫生监督职责：</w:t>
      </w:r>
    </w:p>
    <w:p w14:paraId="0E2BE9A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(一)对公共场所进行卫生监测和卫生技术指导；</w:t>
      </w:r>
    </w:p>
    <w:p w14:paraId="45AEED5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(二)监督从业人员健康检查，指导有关部门对从业人员进行卫生知识的教育和培训。</w:t>
      </w:r>
    </w:p>
    <w:p w14:paraId="62D3848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卫生监督员有权对公共场所进行现场检查，索取有关资料，经营单位不得拒</w:t>
      </w:r>
      <w:bookmarkStart w:id="0" w:name="_GoBack"/>
      <w:bookmarkEnd w:id="0"/>
      <w:r>
        <w:rPr>
          <w:rFonts w:hint="eastAsia" w:ascii="仿宋_GB2312" w:hAnsi="仿宋_GB2312" w:eastAsia="仿宋_GB2312" w:cs="仿宋_GB2312"/>
          <w:sz w:val="32"/>
          <w:szCs w:val="32"/>
        </w:rPr>
        <w:t>绝或隐瞒。卫生监督员对所提供的技术资料有保密的责任。</w:t>
      </w:r>
    </w:p>
    <w:p w14:paraId="6791420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公共场所卫生监督员在执行任务时，应佩戴证章、出示证件。</w:t>
      </w:r>
    </w:p>
    <w:p w14:paraId="4A9E1B52">
      <w:pPr>
        <w:pStyle w:val="3"/>
      </w:pPr>
      <w:r>
        <w:t>第四章　</w:t>
      </w:r>
      <w:r>
        <w:rPr>
          <w:rFonts w:hint="eastAsia"/>
          <w:lang w:val="en-US" w:eastAsia="zh-CN"/>
        </w:rPr>
        <w:t>罚</w:t>
      </w:r>
      <w:r>
        <w:t>　　则</w:t>
      </w:r>
    </w:p>
    <w:p w14:paraId="2E8AF56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凡有下列行为之一的单位或者个人，卫生防疫机构可以根据情节轻重，给予警告、罚款、停业整顿、吊销“卫生许可证”的行政处罚：</w:t>
      </w:r>
    </w:p>
    <w:p w14:paraId="23F5376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(一)卫生质量不符合国家卫生标准和要求，而继续营业的；</w:t>
      </w:r>
    </w:p>
    <w:p w14:paraId="115A383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(二)未获得“健康合格证”，而从事直接为顾客服务的；</w:t>
      </w:r>
    </w:p>
    <w:p w14:paraId="4D2C583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(三)拒绝卫生监督的；</w:t>
      </w:r>
    </w:p>
    <w:p w14:paraId="39424BC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spacing w:val="-6"/>
          <w:sz w:val="32"/>
          <w:szCs w:val="32"/>
        </w:rPr>
        <w:t>未取得“卫生许可证”擅自营业，或者未办理卫生备案</w:t>
      </w:r>
      <w:r>
        <w:rPr>
          <w:rFonts w:hint="eastAsia" w:ascii="仿宋_GB2312" w:hAnsi="仿宋_GB2312" w:eastAsia="仿宋_GB2312" w:cs="仿宋_GB2312"/>
          <w:sz w:val="32"/>
          <w:szCs w:val="32"/>
        </w:rPr>
        <w:t>的。</w:t>
      </w:r>
    </w:p>
    <w:p w14:paraId="3F627B9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罚款一律上交国库。</w:t>
      </w:r>
    </w:p>
    <w:p w14:paraId="402C4FA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违反本条例的规定造成严重危害公民健康的事故或中毒事故的单位或者个人，应当对受害人赔偿损失。</w:t>
      </w:r>
    </w:p>
    <w:p w14:paraId="7EF9C1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违反本条例致人残疾或者死亡，构成犯罪的，应由司法机关依法追究直接责任人员的刑事责任。</w:t>
      </w:r>
    </w:p>
    <w:p w14:paraId="4E8B6A3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对罚款、停业整顿及吊销“卫生许可证”的行政处罚不服的，在接到处罚通知之日起15天内，可以向当地人民法院起诉。但对公共场所卫生质量控制的决定应立即执行。对处罚的决定不履行又逾期不起诉的，由卫生防疫机构向人民法院申请强制执行。</w:t>
      </w:r>
    </w:p>
    <w:p w14:paraId="5575F2E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公共场所卫生监督机构和卫生监督员必须尽职尽责，依法办事。对玩忽职守，滥用职权，收取贿赂的，由上级主管部门给予直接责任人员行政处分。构成犯罪的，由司法机关依法追究直接责任人员的刑事责任。</w:t>
      </w:r>
    </w:p>
    <w:p w14:paraId="28F37F1A">
      <w:pPr>
        <w:pStyle w:val="3"/>
      </w:pPr>
      <w:r>
        <w:t>第五章　附　　则</w:t>
      </w:r>
    </w:p>
    <w:p w14:paraId="205FC85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本条例的实施细则由国务院卫生行政部门负责制定。</w:t>
      </w:r>
    </w:p>
    <w:p w14:paraId="4178FF05">
      <w:pPr>
        <w:pStyle w:val="10"/>
        <w:ind w:firstLine="640" w:firstLineChars="200"/>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233467">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C67D35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0C67D35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0424"/>
    <w:rsid w:val="001123A3"/>
    <w:rsid w:val="001308F7"/>
    <w:rsid w:val="001D2E61"/>
    <w:rsid w:val="001E555F"/>
    <w:rsid w:val="00216637"/>
    <w:rsid w:val="00290D32"/>
    <w:rsid w:val="002C025D"/>
    <w:rsid w:val="002C3000"/>
    <w:rsid w:val="002E13E2"/>
    <w:rsid w:val="002F6361"/>
    <w:rsid w:val="003004CE"/>
    <w:rsid w:val="003558B0"/>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6A41F0"/>
    <w:rsid w:val="00723BD5"/>
    <w:rsid w:val="00725A0C"/>
    <w:rsid w:val="00730ACC"/>
    <w:rsid w:val="00735841"/>
    <w:rsid w:val="00754610"/>
    <w:rsid w:val="00774219"/>
    <w:rsid w:val="0077596B"/>
    <w:rsid w:val="007953C3"/>
    <w:rsid w:val="007A2BEC"/>
    <w:rsid w:val="007C74E7"/>
    <w:rsid w:val="007E54CD"/>
    <w:rsid w:val="00826E44"/>
    <w:rsid w:val="0083648E"/>
    <w:rsid w:val="008665B0"/>
    <w:rsid w:val="008B7C4B"/>
    <w:rsid w:val="008C4A57"/>
    <w:rsid w:val="008F43D9"/>
    <w:rsid w:val="00917678"/>
    <w:rsid w:val="009567A4"/>
    <w:rsid w:val="00965278"/>
    <w:rsid w:val="00965B34"/>
    <w:rsid w:val="009C2C04"/>
    <w:rsid w:val="009D67A7"/>
    <w:rsid w:val="00A06F17"/>
    <w:rsid w:val="00A1689C"/>
    <w:rsid w:val="00A37B48"/>
    <w:rsid w:val="00A57CA4"/>
    <w:rsid w:val="00AA747A"/>
    <w:rsid w:val="00AC7BC9"/>
    <w:rsid w:val="00B12053"/>
    <w:rsid w:val="00B15D96"/>
    <w:rsid w:val="00B31E84"/>
    <w:rsid w:val="00B9435F"/>
    <w:rsid w:val="00BC2466"/>
    <w:rsid w:val="00BC4671"/>
    <w:rsid w:val="00BD7AE1"/>
    <w:rsid w:val="00BE0B46"/>
    <w:rsid w:val="00C603F7"/>
    <w:rsid w:val="00C679F8"/>
    <w:rsid w:val="00CA02BD"/>
    <w:rsid w:val="00CB4C46"/>
    <w:rsid w:val="00CC415C"/>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687D84"/>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DB6C33"/>
    <w:rsid w:val="1ABC528A"/>
    <w:rsid w:val="1BAF2172"/>
    <w:rsid w:val="1C9212F7"/>
    <w:rsid w:val="1D721751"/>
    <w:rsid w:val="1DA140F8"/>
    <w:rsid w:val="1FE16FBA"/>
    <w:rsid w:val="2096095A"/>
    <w:rsid w:val="20D86240"/>
    <w:rsid w:val="21CE0F2E"/>
    <w:rsid w:val="221D0BEA"/>
    <w:rsid w:val="22DD4281"/>
    <w:rsid w:val="23391EBC"/>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7F667F"/>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4FC403C5"/>
    <w:rsid w:val="5080370D"/>
    <w:rsid w:val="511934B3"/>
    <w:rsid w:val="512A1D93"/>
    <w:rsid w:val="5146198F"/>
    <w:rsid w:val="51F44E31"/>
    <w:rsid w:val="523F45D1"/>
    <w:rsid w:val="524F6E89"/>
    <w:rsid w:val="52695AB4"/>
    <w:rsid w:val="529D4C7B"/>
    <w:rsid w:val="53AB2688"/>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0E6600"/>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DF54587"/>
    <w:rsid w:val="7E600C51"/>
    <w:rsid w:val="7E6A7FC2"/>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1814</Words>
  <Characters>1831</Characters>
  <Lines>13</Lines>
  <Paragraphs>3</Paragraphs>
  <TotalTime>0</TotalTime>
  <ScaleCrop>false</ScaleCrop>
  <LinksUpToDate>false</LinksUpToDate>
  <CharactersWithSpaces>1862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2024-12-19T08:45:08Z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1354C367CCAD4F66B6FD3FD771B62A31_12</vt:lpwstr>
  </property>
</Properties>
</file>