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稀土管理条例</w:t>
      </w:r>
    </w:p>
    <w:p>
      <w:pPr>
        <w:widowControl/>
        <w:spacing w:line="500" w:lineRule="exact"/>
        <w:jc w:val="center"/>
        <w:rPr>
          <w:rFonts w:ascii="宋体" w:hAnsi="宋体" w:cs="宋体"/>
          <w:color w:val="333333"/>
          <w:sz w:val="44"/>
          <w:szCs w:val="44"/>
          <w:shd w:val="clear" w:color="auto" w:fill="FFFFFF"/>
        </w:rPr>
      </w:pPr>
    </w:p>
    <w:p>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楷体_GB2312" w:hAnsi="楷体_GB2312" w:eastAsia="楷体_GB2312" w:cs="楷体_GB2312"/>
          <w:bCs/>
          <w:spacing w:val="0"/>
          <w:kern w:val="2"/>
          <w:sz w:val="32"/>
          <w:szCs w:val="32"/>
          <w:shd w:val="clear" w:color="auto" w:fill="FFFFFF"/>
          <w:lang w:val="en-US" w:eastAsia="zh-CN" w:bidi="ar-SA"/>
        </w:rPr>
        <w:t>(2024年4月26日国务院第31次常务会议通过　2024年6月22日中华人民共和国国务院令第785号公布　自2024年10月1日起施行)</w:t>
      </w:r>
    </w:p>
    <w:p>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为有效保护和合理开发利用稀土资源，促进稀土产业高质量发展，维护生态安全，保障国家资源安全和产业安全，根据有关法律，制定本条例。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在中华人民共和国境内从事稀土的开采、冶炼分离、</w:t>
      </w:r>
      <w:r>
        <w:rPr>
          <w:rFonts w:hint="eastAsia" w:ascii="仿宋_GB2312" w:hAnsi="仿宋_GB2312" w:eastAsia="仿宋_GB2312" w:cs="仿宋_GB2312"/>
          <w:spacing w:val="-6"/>
          <w:sz w:val="32"/>
          <w:szCs w:val="32"/>
        </w:rPr>
        <w:t>金属冶炼、综合利用、产品流通、进出口等活动，适用本条</w:t>
      </w:r>
      <w:r>
        <w:rPr>
          <w:rFonts w:hint="eastAsia" w:ascii="仿宋_GB2312" w:hAnsi="仿宋_GB2312" w:eastAsia="仿宋_GB2312" w:cs="仿宋_GB2312"/>
          <w:sz w:val="32"/>
          <w:szCs w:val="32"/>
        </w:rPr>
        <w:t>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稀土管理工作应当贯彻落实党和国家的路线方针政策、决策部署，坚持保护资源与开发利用并重，遵循统筹规划、保障安全、科技创新、绿色发展的原则。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稀土资源属于国家所有，任何组织和个人不得侵占或者破坏稀土资源。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国家依法加强对稀土资源的保护，对稀土资源实行保护性开采。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国家对稀土产业发展实行统一规划。国务院工业和信息化主管部门会同国务院有关部门依法编制和组织实施稀土产业发展规划。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国家鼓励和支持稀土产业新技术、新工艺、新产品、新材料、新装备的研发和应用，持续提升稀土资源开发利用水平，推动稀土产业高端化、智能化、绿色化发展。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国务院工业和信息化主管部门负责全国稀土行业管理工作，研究制定并组织实施稀土行业管理政策措施。国务院自然资源主管部门等其他有关部门在各自职责范围内负责稀土管理相关工作。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县级以上地方人民政府负责本地区稀土管理有关工作。县级以上地方人民政府工业和信息化、自然资源等有关主管部门按照职责分工做好稀土管理相关工作。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国务院工业和信息化主管部门会同国务院有关部门确定稀土开采企业和稀土冶炼分离企业，并向社会公布。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除依照本条第一款确定的企业外，其他组织和个人不得从事稀土开采和稀土冶炼分离。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稀土开采企业应当依照矿产资源管理法律、行政法规和国家有关规定取得采矿权、采矿许可证。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投资稀土开采、冶炼分离等项目，应当遵守投资项目管理的法律、行政法规和国家有关规定。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家根据稀土资源储量和种类差异、产业发展、生态保护、市场需求等因素，对稀土开采和稀土冶炼分离实行总量调控，并优化动态管理。具体办法由国务院工业和信息化主管部门会同国务院自然资源、发展改革等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稀土开采企业和稀土冶炼分离企业应当严格遵守国家有关总量调控管理规定。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国家鼓励和支持企业利用先进适用技术、工艺，对稀土二次资源进行综合利用。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稀土综合利用企业不得以稀土矿产品为原料从事生产活动。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从事稀土开采、冶炼分离、金属冶炼、综合利用的企业，应当遵守有关矿产资源、节能环保、清洁生产、安全生产和消防的法律法规，采取合理的环境风险防范、生态保护、污染防治和安全防护措施，有效防止环境污染和生产安全事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任何组织和个人不得收购、加工、销售、出口非法开采或者非法冶炼分离的稀土产品。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国务院工业和信息化主管部门会同国务院自然资源、商务、海关、税务等部门建立稀土产品追溯信息系统，加强对稀土产品全过程追溯管理，推进有关部门数据共享。</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从事稀土开采、冶炼分离、金属冶炼、综合利用和稀土产品出口的企业应当建立稀土产品流向记录制度，如实记录稀土产品流向信息并录入稀土产品追溯信息系统。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稀土产品及相关技术、工艺、装备的进出口，应当遵守有关对外贸易、进出口管理法律、行政法规的规定。属于出口管制物项的，还应当遵守出口管制法律、行政法规的规定。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国家按照实物储备和矿产地储备相结合的方式，完善稀土储备体系。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稀土实物储备实行政府储备与企业储备相结合，不断优化储备品种结构数量。具体办法由国务院发展改革、财政部门会同工业和信息化主管部门、粮食和物资储备部门制定。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自然资源主管部门会同国务院有关部门根据保障稀土资源安全需要，结合资源储量、分布情况、重要程度等因素，划定稀土资源储备地，依法加强监管和保护。具体办法由国务院自然资源主管部门会同国务院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稀土行业组织应当建立健全行业规范，加强行业自律管理，引导企业守法、诚信经营，促进公平竞争。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工业和信息化主管部门和其他有关部门(以下统称监督检查部门)应当依照有关法律法规和本条例规定，按照职责分工对稀土的开采、冶炼分离、金属冶炼、综合利用、产品流通、进出口等活动进行监督检查，对违法行为及时依法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监督检查部门进行监督检查，有权采取下列措施：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(一)要求被检查单位提供有关文件和资料；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(二)询问被检查单位及其有关人员，要求其对与监督检查事项有关的情况作出说明；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(三)进入涉嫌违法活动的场所进行调查和取证；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(四)扣押违法活动相关的稀土产品及工具、设备，查封违法活动的场所；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(五)法律、行政法规规定的其他措施。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被检查单位及其有关人员应当予以配合，如实提供有关文件和资料，不得拒绝、阻碍。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监督检查部门进行监督检查，监督检查人员不得少于2人，并应当出示有效的行政执法证件。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监督检查部门的工作人员，对监督检查中获悉的国家秘密、商业秘密和个人信息负有保密义务。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违反本条例规定，有下列行为之一的，由自然资源主管部门依法予以处罚：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(一)稀土开采企业未取得采矿权、采矿许可证开采稀土资源，或者超出采矿权登记的开采区域开采稀土资源；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(二)稀土开采企业之外的组织和个人从事稀土开采。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稀土开采企业和稀土冶炼分离企业违反总量调控管理规定进行稀土开采、冶炼分离的，由自然资源、工业和信息化主管部门按照职责分工责令改正，没收违法生产的稀土产品和违法所得，并处违法所得5倍以上10倍以下的罚款；没有违法所得或者违法所得不足50万元的，并处100万元以上500万元以下的罚款；情节严重的，责令停产停业，对主要负责人、直接负责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违反本条例规定，有下列行为之一的，由工业和信息化主管部门责令停止违法行为，没收违法生产的稀土产品和违法所得以及直接用于违法活动的工具、设备，并处违法所得5倍以上10倍以下的罚款；没有违法所得或者违法所得不足50万元的，并处200万元以上500万元以下的罚款；情节严重的，由市场监督管理部门吊销其营业执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(一)稀土冶炼分离企业之外的组织和个人从事冶炼分离；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(二)稀土综合利用企业以稀土矿产品为原料从事生产活动。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违反本条例规定，收购、加工、销售非法开采或者非法冶炼分离的稀土产品的，由工业和信息化主管部门会同有关部门责令停止违法行为，没收违法收购、加工、销售的稀土产品和违法所得以及直接用于违法活动的工具、设备，并处违法所得5倍以上10倍以下的罚款；没有违法所得或者违法所得不足50万元的，并处50万元以上200万元以下的罚款；情节严重的，由市场监督管理部门吊销其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进出口稀土产品及相关技术、工艺、装备，违反有关法律、行政法规和本条例规定的，由商务主管部门、海关等有关部门按照职责依法予以处罚。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从事稀土开采、冶炼分离、金属冶炼、综合利用和稀土产品出口的企业不如实记录稀土产品流向信息并录入稀土产品追溯信息系统的，由工业和信息化主管部门和其他有关部门按照职责分工责令改正，对企业处5万元以上20万元以下的罚款；拒不改正的，责令停产停业，并对主要负责人、直接负责的主管人员和其他直接责任人员处2万元以上5万元以下的罚款，对企业处20万元以上100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拒绝、阻碍监督检查部门依法履行监督检查职责的，由监督检查部门责令改正，对主要负责人、直接负责的主管人员和其他直接责任人员给予警告，对企业处2万元以上10万元以下的罚款；拒不改正的，责令停产停业，并对主要负责人、直接负责的主管人员和其他直接责任人员处2万元以上5万元以下的罚款，对企业处10万元以上50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从事稀土开采、冶炼分离、金属冶炼、综合利用的企业，违反有关节能环保、清洁生产、安全生产和消防法律法规的，由相关部门按照职责依法予以处罚。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从事稀土开采、冶炼分离、金属冶炼、综合利用和稀土产品进出口企业的违法违规行为，由相关部门依法记入信用记录，纳入国家有关信用信息系统。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监督检查部门工作人员在稀土管理工作中滥用职权、玩忽职守、徇私舞弊的，依法给予处分。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违反本条例规定，构成违反治安管理行为的，依法给予治安管理处罚；构成犯罪的，依法追究刑事责任。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本条例下列用语的含义：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稀土，指镧、铈、镨、钕、钷、钐、铕、钆、铽、镝、钬、铒、铥、镱、镥、钪、钇等元素的总称。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冶炼分离，指将稀土矿产品加工生成各类单一或者混合稀土氧化物、盐类以及其他化合物的生产过程。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金属冶炼，指以单一或者混合稀土氧化物、盐类及其他化合物为原料制得稀土金属或者合金的生产过程。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稀土二次资源，指经加工可使含有的稀土元素重新具有使用价值的固体废物，包括但不限于稀土永磁废料、废旧永磁体以及其他含稀土废弃物。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稀土产品，包括稀土矿产品、各类稀土化合物、各类稀土金属及合金等。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对稀土之外的其他稀有金属的管理，国务院相关主管部门可以参照本条例的有关规定执行。</w:t>
      </w:r>
    </w:p>
    <w:p>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本条例自2024年10月1日起施行。</w:t>
      </w: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隶书">
    <w:panose1 w:val="0201050906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90324F1"/>
    <w:rsid w:val="6A403C00"/>
    <w:rsid w:val="6AFA1E66"/>
    <w:rsid w:val="6B4C7D1B"/>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8</Pages>
  <Words>2523</Words>
  <Characters>2540</Characters>
  <Lines>69</Lines>
  <Paragraphs>19</Paragraphs>
  <TotalTime>2</TotalTime>
  <ScaleCrop>false</ScaleCrop>
  <LinksUpToDate>false</LinksUpToDate>
  <CharactersWithSpaces>2587</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2024-07-01T01:01:04Z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AAC7F7B6F5494A41BADB80700CA67999</vt:lpwstr>
  </property>
</Properties>
</file>