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Times New Roman" w:hAnsi="Times New Roman" w:cs="Times New Roman"/>
          <w:sz w:val="44"/>
          <w:szCs w:val="44"/>
        </w:rPr>
        <w:t>中华人民共和国货物进出口管理条例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64" w:firstLineChars="200"/>
        <w:jc w:val="left"/>
        <w:rPr>
          <w:rFonts w:hint="eastAsia" w:ascii="楷体_GB2312" w:hAnsi="楷体_GB2312" w:eastAsia="楷体_GB2312" w:cs="楷体_GB2312"/>
          <w:spacing w:val="0"/>
          <w:sz w:val="32"/>
          <w:szCs w:val="32"/>
          <w:shd w:val="clear" w:color="auto" w:fill="FFFFFF"/>
        </w:rPr>
      </w:pPr>
      <w:r>
        <w:rPr>
          <w:rFonts w:hint="eastAsia" w:ascii="楷体_GB2312" w:hAnsi="楷体_GB2312" w:eastAsia="楷体_GB2312" w:cs="楷体_GB2312"/>
          <w:spacing w:val="6"/>
          <w:sz w:val="32"/>
          <w:szCs w:val="32"/>
          <w:shd w:val="clear" w:color="auto" w:fill="FFFFFF"/>
        </w:rPr>
        <w:t>(2001年12月10日中华人民共和国国务院令第332号公布　</w:t>
      </w:r>
      <w:r>
        <w:rPr>
          <w:rFonts w:hint="eastAsia" w:ascii="楷体_GB2312" w:hAnsi="楷体_GB2312" w:eastAsia="楷体_GB2312" w:cs="楷体_GB2312"/>
          <w:spacing w:val="0"/>
          <w:sz w:val="32"/>
          <w:szCs w:val="32"/>
          <w:shd w:val="clear" w:color="auto" w:fill="FFFFFF"/>
        </w:rPr>
        <w:t>根据2024年3月10日《国务院关于修改和废止部分行政法规的决定》修订)</w:t>
      </w:r>
    </w:p>
    <w:p>
      <w:pPr>
        <w:pStyle w:val="3"/>
        <w:spacing w:before="320" w:after="320" w:line="576" w:lineRule="auto"/>
        <w:jc w:val="center"/>
        <w:rPr>
          <w:rFonts w:eastAsia="方正黑体_GBK"/>
        </w:rPr>
      </w:pPr>
      <w:r>
        <w:rPr>
          <w:rFonts w:hint="eastAsia" w:eastAsia="方正黑体_GBK"/>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为了规范货物进出口管理，维护货物进出口秩序，促进对外贸易健康发展，根据《中华人民共和国对外贸易法》(以下简称对外贸易法)的有关规定，制定本条例。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从事将货物进口到中华人民共和国关境内或者将货物出口到中华人民共和国关境外的贸易活动，应当遵守本条例。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国家对货物进出口实行统一的管理制度。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国家准许货物的自由进出口，依法维护公平、有序的货物进出口贸易。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除法律、行政法规明确禁止或者限制进出口的外，任何单位和个人均不得对货物进出口设置、维持禁止或者限制措施。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中华人民共和国在货物进出口贸易方面根据所缔结或者参加的国际条约、协定，给予其他缔约方、参加方最惠国待遇、国民待遇，或者根据互惠、对等原则给予对方最惠国待遇、国民待遇。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任何国家或者地区在货物进出口贸易方面对中华人民共和国采取歧视性的禁止、限制或者其他类似措施的，中华人民共和国可以根据实际情况对该国家或者地区采取相应的措施。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国务院对外经济贸易主管部门(以下简称国务院外经贸主管部门)依照对外贸易法和本条例的规定，主管全国货物进出口贸易工作。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国务院有关部门按照国务院规定的职责，依照本条例的规定负责货物进出口贸易管理的有关工作。</w:t>
      </w:r>
    </w:p>
    <w:p>
      <w:pPr>
        <w:pStyle w:val="3"/>
        <w:spacing w:before="320" w:after="320" w:line="576" w:lineRule="auto"/>
        <w:jc w:val="center"/>
        <w:rPr>
          <w:rFonts w:eastAsia="方正黑体_GBK"/>
        </w:rPr>
      </w:pPr>
      <w:r>
        <w:rPr>
          <w:rFonts w:hint="eastAsia" w:eastAsia="方正黑体_GBK"/>
        </w:rPr>
        <w:t>第二章　货物进口管理</w:t>
      </w:r>
    </w:p>
    <w:p>
      <w:pPr>
        <w:pStyle w:val="4"/>
        <w:jc w:val="center"/>
        <w:rPr>
          <w:rFonts w:ascii="楷体" w:hAnsi="楷体" w:eastAsia="楷体"/>
          <w:b w:val="0"/>
          <w:bCs w:val="0"/>
        </w:rPr>
      </w:pPr>
      <w:r>
        <w:rPr>
          <w:rFonts w:hint="eastAsia" w:ascii="楷体" w:hAnsi="楷体" w:eastAsia="楷体"/>
          <w:b w:val="0"/>
          <w:bCs w:val="0"/>
        </w:rPr>
        <w:t>第一节　禁止进口的货物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有对外贸易法第十六条规定情形之一的货物，禁止进口。其他法律、行政法规规定禁止进口的，依照其规定。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禁止进口的货物目录由国务院外经贸主管部门会同国务院有关部门制定、调整并公布。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属于禁止进口的货物，不得进口。</w:t>
      </w:r>
    </w:p>
    <w:p>
      <w:pPr>
        <w:pStyle w:val="4"/>
        <w:jc w:val="center"/>
        <w:rPr>
          <w:rFonts w:ascii="楷体" w:hAnsi="楷体" w:eastAsia="楷体"/>
          <w:b w:val="0"/>
          <w:bCs w:val="0"/>
        </w:rPr>
      </w:pPr>
      <w:r>
        <w:rPr>
          <w:rFonts w:hint="eastAsia" w:ascii="楷体" w:hAnsi="楷体" w:eastAsia="楷体"/>
          <w:b w:val="0"/>
          <w:bCs w:val="0"/>
        </w:rPr>
        <w:t>第二节　限制进口的货物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有对外贸易法第十五条第(一)、(四)、(五)、(六)、(七)项规定情形之一的货物，限制进口。其他法律、行政法规规定限制进口的，依照其规定。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限制进口的货物目录由国务院外经贸主管部门会同国务院有关部门制定、调整并公布。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限制进口的货物目录，应当至少在实施前21天公布；在紧急情况下，应当不迟于实施之日公布。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国家规定有数量限制的限制进口货物，实行配额管理；其他限制进口货物，实行许可证管理。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实行关税配额管理的进口货物，依照本章第四节的规定执行。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实行配额管理的限制进口货物，由国务院外经贸主管部门和国务院有关经济管理部门(以下统称进口配额管理部门)按照国务院规定的职责划分进行管理。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对实行配额管理的限制进口货物，进口配额管理部门应当在每年7月31日前公布下一年度进口配额总量。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配额申请人应当在每年8月1日至8月31日向进口配额管理部门提出下一年度进口配额的申请。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进口配额管理部门应当在每年10月31日前将下一年度的配额分配给配额申请人。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进口配额管理部门可以根据需要对年度配额总量进行调整，并在实施前21天予以公布。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配额可以按照对所有申请统一办理的方式分配。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按照对所有申请统一办理的方式分配配额的，进口配额管理部门应当自规定的申请期限截止之日起60天内作出是否发放配额的决定。</w:t>
      </w:r>
    </w:p>
    <w:p>
      <w:pPr>
        <w:pStyle w:val="11"/>
        <w:ind w:firstLine="640" w:firstLineChars="200"/>
        <w:rPr>
          <w:rFonts w:hint="eastAsia" w:ascii="仿宋_GB2312" w:hAnsi="仿宋_GB2312" w:eastAsia="仿宋_GB2312" w:cs="仿宋_GB2312"/>
          <w:spacing w:val="-11"/>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pacing w:val="-11"/>
          <w:sz w:val="32"/>
          <w:szCs w:val="32"/>
        </w:rPr>
        <w:t>进口配额管理部门分配配额时，应当考虑下列因素：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(一)申请人的进口实绩；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(二)以往分配的配额是否得到充分使用；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(三)申请人的生产能力、经营规模、销售状况；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(四)新的进口经营者的申请情况；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(五)申请配额的数量情况；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(六)需要考虑的其他因素。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进口经营者凭进口配额管理部门发放的配额证明，向国务院外经贸主管部门申领进口配额许可证。国务院外经贸主管部门应当自收到申请之日起3个工作日内发放进口配额许可证。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进口经营者凭国务院外经贸主管部门发放的进口配额许可证，向海关办理报关验放手续。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配额持有者未使用完其持有的年度配额的，应当在当年9月1日前将未使用的配额交还进口配额管理部门；未按期交还并且在当年年底前未使用完的，进口配额管理部门可以在下一年度对其扣减相应的配额。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实行许可证管理的限制进口货物，进口经营者应当向国务院外经贸主管部门或者国务院有关部门(以下统称进口许可证管理部门)提出申请。进口许可证管理部门应当自收到申请之日起30天内决定是否许可。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进口经营者凭进口许可证管理部门发放的进口许可证，向海关办理报关验放手续。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前款所称进口许可证，包括法律、行政法规规定的各种具有许可进口性质的证明、文件。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进口配额管理部门和进口许可证管理部门应当根据本条例的规定制定具体管理办法，对申请人的资格、受理申请的部门、审查的原则和程序等事项作出明确规定并在实施前予以公布。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受理申请的部门一般为一个部门。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进口配额管理部门和进口许可证管理部门要求申请人提交的文件，应当限于为保证实施管理所必需的文件和资料，不得仅因细微的、非实质性的错讹拒绝接受申请。</w:t>
      </w:r>
    </w:p>
    <w:p>
      <w:pPr>
        <w:pStyle w:val="4"/>
        <w:jc w:val="center"/>
        <w:rPr>
          <w:rFonts w:ascii="楷体" w:hAnsi="楷体" w:eastAsia="楷体"/>
          <w:b w:val="0"/>
          <w:bCs w:val="0"/>
        </w:rPr>
      </w:pPr>
      <w:r>
        <w:rPr>
          <w:rFonts w:hint="eastAsia" w:ascii="楷体" w:hAnsi="楷体" w:eastAsia="楷体"/>
          <w:b w:val="0"/>
          <w:bCs w:val="0"/>
        </w:rPr>
        <w:t>第三节　自由进口的货物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进口属于自由进口的货物，不受限制。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基于监测货物进口情况的需要，国务院外经贸主管部门和国务院有关经济管理部门可以按照国务院规定的职责划分，对部分属于自由进口的货物实行自动进口许可管理。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实行自动进口许可管理的货物目录，应当至少在实施前21天公布。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进口属于自动进口许可管理的货物，均应当给予许可。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进口属于自动进口许可管理的货物，进口经营者应当在办理海关报关手续前，向国务院外经贸主管部门或者国务院有关经济管理部门提交自动进口许可申请。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国务院外经贸主管部门或者国务院有关经济管理部门应当在收到申请后，立即发放自动进口许可证明；在特殊情况下，最长不得超过10天。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进口经营者凭国务院外经贸主管部门或者国务院有关经济管理部门发放的自动进口许可证明，向海关办理报关验放手续。</w:t>
      </w:r>
    </w:p>
    <w:p>
      <w:pPr>
        <w:pStyle w:val="4"/>
        <w:jc w:val="center"/>
        <w:rPr>
          <w:rFonts w:ascii="楷体" w:hAnsi="楷体" w:eastAsia="楷体"/>
          <w:b w:val="0"/>
          <w:bCs w:val="0"/>
        </w:rPr>
      </w:pPr>
      <w:r>
        <w:rPr>
          <w:rFonts w:hint="eastAsia" w:ascii="楷体" w:hAnsi="楷体" w:eastAsia="楷体"/>
          <w:b w:val="0"/>
          <w:bCs w:val="0"/>
        </w:rPr>
        <w:t>第四节　关税配额管理的货物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实行关税配额管理的进口货物目录，由国务院外经贸主管部门会同国务院有关经济管理部门制定、调整并公布。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属于关税配额内进口的货物，按照配额内税率缴纳关税；属于关税配额外进口的货物，按照配额外税率缴纳关税。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进口配额管理部门应当在每年9月15日至10月14日公布下一年度的关税配额总量。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配额申请人应当在每年10月15日至10月30日向进口配额管理部门提出关税配额的申请。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关税配额可以按照对所有申请统一办理的方式分配。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按照对所有申请统一办理的方式分配关税配额的，进口配额管理部门应当在每年12月31日前作出是否发放配额的决定。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进口经营者凭进口配额管理部门发放的关税配额证明，向海关办理关税配额内货物的报关验放手续。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国务院有关经济管理部门应当及时将年度关税配额总量、分配方案和关税配额证明实际发放的情况向国务院外经贸主管部门备案。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关税配额持有者未使用完其持有的年度配额的，应当在当年9月15日前将未使用的配额交还进口配额管理部门；未按期交还并且在当年年底前未使用完的，进口配额管理部门可以在下一年度对其扣减相应的配额。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进口配额管理部门应当根据本条例的规定制定有关关税配额的具体管理办法，对申请人的资格、受理申请的部门、审查的原则和程序等事项作出明确规定并在实施前予以公布。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受理申请的部门一般为一个部门。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进口配额管理部门要求关税配额申请人提交的文件，应当限于为保证实施关税配额管理所必需的文件和资料，不得仅因细微的、非实质性的错讹拒绝接受关税配额申请。</w:t>
      </w:r>
    </w:p>
    <w:p>
      <w:pPr>
        <w:pStyle w:val="3"/>
        <w:spacing w:before="320" w:after="320" w:line="576" w:lineRule="auto"/>
        <w:jc w:val="center"/>
        <w:rPr>
          <w:rFonts w:eastAsia="方正黑体_GBK"/>
        </w:rPr>
      </w:pPr>
      <w:r>
        <w:rPr>
          <w:rFonts w:hint="eastAsia" w:eastAsia="方正黑体_GBK"/>
        </w:rPr>
        <w:t>第三章　货物出口管理</w:t>
      </w:r>
    </w:p>
    <w:p>
      <w:pPr>
        <w:pStyle w:val="4"/>
        <w:jc w:val="center"/>
        <w:rPr>
          <w:rFonts w:ascii="楷体" w:hAnsi="楷体" w:eastAsia="楷体"/>
          <w:b w:val="0"/>
          <w:bCs w:val="0"/>
        </w:rPr>
      </w:pPr>
      <w:r>
        <w:rPr>
          <w:rFonts w:hint="eastAsia" w:ascii="楷体" w:hAnsi="楷体" w:eastAsia="楷体"/>
          <w:b w:val="0"/>
          <w:bCs w:val="0"/>
        </w:rPr>
        <w:t>第一节　禁止出口的货物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有对外贸易法第十六条规定情形之一的货物，禁止出口。其他法律、行政法规规定禁止出口的，依照其规定。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禁止出口的货物目录由国务院外经贸主管部门会同国务院有关部门制定、调整并公布。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属于禁止出口的货物，不得出口。</w:t>
      </w:r>
    </w:p>
    <w:p>
      <w:pPr>
        <w:pStyle w:val="4"/>
        <w:jc w:val="center"/>
        <w:rPr>
          <w:rFonts w:ascii="楷体" w:hAnsi="楷体" w:eastAsia="楷体"/>
          <w:b w:val="0"/>
          <w:bCs w:val="0"/>
        </w:rPr>
      </w:pPr>
      <w:r>
        <w:rPr>
          <w:rFonts w:hint="eastAsia" w:ascii="楷体" w:hAnsi="楷体" w:eastAsia="楷体"/>
          <w:b w:val="0"/>
          <w:bCs w:val="0"/>
        </w:rPr>
        <w:t>第二节　限制出口的货物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有对外贸易法第十五条第(一)、(二)、(三)、(七)项规定情形之一的货物，限制出口。其他法律、行政法规规定限制出口的，依照其规定。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限制出口的货物目录由国务院外经贸主管部门会同国务院有关部门制定、调整并公布。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限制出口的货物目录，应当至少在实施前21天公布；在紧急情况下，应当不迟于实施之日公布。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国家规定有数量限制的限制出口货物，实行配额管理；其他限制出口货物，实行许可证管理。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实行配额管理的限制出口货物，由国务院外经贸主管部门和国务院有关经济管理部门(以下统称出口配额管理部门)按照国务院规定的职责划分进行管理。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对实行配额管理的限制出口货物，出口配额管理部门应当在每年10月31日前公布下一年度出口配额总量。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配额申请人应当在每年11月1日至11月15日向出口配额管理部门提出下一年度出口配额的申请。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出口配额管理部门应当在每年12月15日前将下一年度的配额分配给配额申请人。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配额可以通过直接分配的方式分配，也可以通过招标等方式分配。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出口配额管理部门应当自收到申请之日起30天内并不晚于当年12月15日作出是否发放配额的决定。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出口经营者凭出口配额管理部门发放的配额证明，向国务院外经贸主管部门申领出口配额许可证。国务院外经贸主管部门应当自收到申请之日起3个工作日内发放出口配额许可证。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出口经营者凭国务院外经贸主管部门发放的出口配额许可证，向海关办理报关验放手续。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配额持有者未使用完其持有的年度配额的，应当在当年10月31日前将未使用的配额交还出口配额管理部门；未按期交还并且在当年年底前未使用完的，出口配额管理部门可以在下一年度对其扣减相应的配额。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实行许可证管理的限制出口货物，出口经营者应当向国务院外经贸主管部门或者国务院有关部门(以下统称出口许可证管理部门)提出申请，出口许可证管理部门应当自收到申请之日起30天内决定是否许可。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出口经营者凭出口许可证管理部门发放的出口许可证，向海关办理报关验放手续。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前款所称出口许可证，包括法律、行政法规规定的各种具有许可出口性质的证明、文件。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出口配额管理部门和出口许可证管理部门应当根据本条例的规定制定具体管理办法，对申请人的资格、受理申请的部门、审查的原则和程序等事项作出明确规定并在实施前予以公布。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受理申请的部门一般为一个部门。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出口配额管理部门和出口许可证管理部门要求申请人提交的文件，应当限于为保证实施管理所必需的文件和资料，不得仅因细微的、非实质性的错讹拒绝接受申请。</w:t>
      </w:r>
    </w:p>
    <w:p>
      <w:pPr>
        <w:pStyle w:val="3"/>
        <w:spacing w:before="320" w:after="320" w:line="576" w:lineRule="auto"/>
        <w:jc w:val="center"/>
        <w:rPr>
          <w:rFonts w:eastAsia="方正黑体_GBK"/>
        </w:rPr>
      </w:pPr>
      <w:r>
        <w:rPr>
          <w:rFonts w:hint="eastAsia" w:eastAsia="方正黑体_GBK"/>
        </w:rPr>
        <w:t>第四章　国营贸易和指定经营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国家可以对部分货物的进出口实行国营贸易管理。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实行国营贸易管理的进出口货物目录由国务院外经贸主管部门会同国务院有关经济管理部门制定、调整并公布。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国务院外经贸主管部门和国务院有关经济管理部门按照国务院规定的职责划分确定国营贸易企业名录并予以公布。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实行国营贸易管理的货物，国家允许非国营贸易企业从事部分数量的进出口。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国营贸易企业应当每半年向国务院外经贸主管部门提供实行国营贸易管理的货物的购买价格、销售价格等有关信息。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国务院外经贸主管部门基于维护进出口经营秩序的需要，可以在一定期限内对部分货物实行指定经营管理。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实行指定经营管理的进出口货物目录由国务院外经贸主管部门制定、调整并公布。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确定指定经营企业的具体标准和程序，由国务院外经贸主管部门制定并在实施前公布。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指定经营企业名录由国务院外经贸主管部门公布。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除本条例第四十七条规定的情形外，未列入国营贸易企业名录和指定经营企业名录的企业或者其他组织，不得从事实行国营贸易管理、指定经营管理的货物的进出口贸易。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国营贸易企业和指定经营企业应当根据正常的商业条件从事经营活动，不得以非商业因素选择供应商，不得以非商业因素拒绝其他企业或者组织的委托。</w:t>
      </w:r>
    </w:p>
    <w:p>
      <w:pPr>
        <w:pStyle w:val="3"/>
        <w:spacing w:before="320" w:after="320" w:line="576" w:lineRule="auto"/>
        <w:jc w:val="center"/>
        <w:rPr>
          <w:rFonts w:eastAsia="方正黑体_GBK"/>
        </w:rPr>
      </w:pPr>
      <w:r>
        <w:rPr>
          <w:rFonts w:hint="eastAsia" w:eastAsia="方正黑体_GBK"/>
        </w:rPr>
        <w:t>第五章　进出口监测和临时措施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国务院外经贸主管部门负责对货物进出口情况进行监测、评估，并定期向国务院报告货物进出口情况，提出建议。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国家为维护国际收支平衡，包括国际收支发生严重失衡或者受到严重失衡威胁时，或者为维持与实施经济发展计划相适应的外汇储备水平，可以对进口货物的价值或者数量采取临时限制措施。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国家为建立或者加快建立国内特定产业，在采取现有措施无法实现的情况下，可以采取限制或者禁止进口的临时措施。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国家为执行下列一项或者数项措施，必要时可以对任何形式的农产品水产品采取限制进口的临时措施：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(一)对相同产品或者直接竞争产品的国内生产或者销售采取限制措施；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(二)通过补贴消费的形式，消除国内过剩的相同产品或者直接竞争产品；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(三)对完全或者主要依靠该进口农产品水产品形成的动物产品采取限产措施。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有下列情形之一的，国务院外经贸主管部门可以对特定货物的出口采取限制或者禁止的临时措施：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(一)发生严重自然灾害等异常情况，需要限制或者禁止出口的；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(二)出口经营秩序严重混乱，需要限制出口的；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(三)依照对外贸易法第十五条、第十六条的规定，需要限制或者禁止出口的。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对进出口货物采取限制或者禁止的临时措施的，国务院外经贸主管部门应当在实施前予以公告。</w:t>
      </w:r>
    </w:p>
    <w:p>
      <w:pPr>
        <w:pStyle w:val="3"/>
        <w:spacing w:before="320" w:after="320" w:line="576" w:lineRule="auto"/>
        <w:jc w:val="center"/>
        <w:rPr>
          <w:rFonts w:eastAsia="方正黑体_GBK"/>
        </w:rPr>
      </w:pPr>
      <w:r>
        <w:rPr>
          <w:rFonts w:hint="eastAsia" w:eastAsia="方正黑体_GBK"/>
        </w:rPr>
        <w:t>第六章　对外贸易促进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国家采取出口信用保险、出口信贷、出口退税、设立外贸发展基金等措施，促进对外贸易发展。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国家采取有效措施，促进企业的技术创新和技术进步，提高企业的国际竞争能力。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国家通过提供信息咨询服务，帮助企业开拓国际市场。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货物进出口经营者可以依法成立和参加进出口商会，实行行业自律和协调。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国家鼓励企业积极应对国外歧视性反倾销、反补贴、保障措施及其他限制措施，维护企业的正当贸易权利。</w:t>
      </w:r>
    </w:p>
    <w:p>
      <w:pPr>
        <w:pStyle w:val="3"/>
        <w:spacing w:before="320" w:after="320" w:line="576" w:lineRule="auto"/>
        <w:jc w:val="center"/>
        <w:rPr>
          <w:rFonts w:eastAsia="方正黑体_GBK"/>
        </w:rPr>
      </w:pPr>
      <w:r>
        <w:rPr>
          <w:rFonts w:hint="eastAsia" w:eastAsia="方正黑体_GBK"/>
        </w:rPr>
        <w:t>第七章　法</w:t>
      </w:r>
      <w:r>
        <w:rPr>
          <w:rFonts w:hint="eastAsia"/>
          <w:lang w:val="en-US" w:eastAsia="zh-CN"/>
        </w:rPr>
        <w:t xml:space="preserve"> </w:t>
      </w:r>
      <w:r>
        <w:rPr>
          <w:rFonts w:hint="eastAsia" w:eastAsia="方正黑体_GBK"/>
        </w:rPr>
        <w:t>律</w:t>
      </w:r>
      <w:r>
        <w:rPr>
          <w:rFonts w:hint="eastAsia"/>
          <w:lang w:val="en-US" w:eastAsia="zh-CN"/>
        </w:rPr>
        <w:t xml:space="preserve"> </w:t>
      </w:r>
      <w:r>
        <w:rPr>
          <w:rFonts w:hint="eastAsia" w:eastAsia="方正黑体_GBK"/>
        </w:rPr>
        <w:t>责</w:t>
      </w:r>
      <w:r>
        <w:rPr>
          <w:rFonts w:hint="eastAsia"/>
          <w:lang w:val="en-US" w:eastAsia="zh-CN"/>
        </w:rPr>
        <w:t xml:space="preserve"> </w:t>
      </w:r>
      <w:r>
        <w:rPr>
          <w:rFonts w:hint="eastAsia" w:eastAsia="方正黑体_GBK"/>
        </w:rPr>
        <w:t>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进口或者出口属于禁止进出口的货物，或者未经批准、许可擅自进口或者出口属于限制进出口的货物的，依照刑法关于走私罪的规定，依法追究刑事责任；尚不够刑事处罚的，依照海关法的有关规定处罚。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擅自超出批准、许可的范围进口或者出口属于限制进出口的货物的，依照刑法关于走私罪或者非法经营罪的规定，依法追究刑事责任；尚不够刑事处罚的，依照海关法的有关规定处罚。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伪造、变造或者买卖货物进出口配额证明、批准文件、许可证或者自动进口许可证明的，依照刑法关于非法经营罪或者伪造、变造、买卖国家机关公文、证件、印章罪的规定，依法追究刑事责任；尚不够刑事处罚的，依照海关法的有关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进出口经营者以欺骗或者其他不正当手段获取货物进出口配额、批准文件、许可证或者自动进口许可证明的，依法收缴其货物进出口配额、批准文件、许可证或者自动进口许可证明。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第五十一条规定，擅自从事实行国营贸易管理或者指定经营管理的货物进出口贸易，扰乱市场秩序，情节严重的，依照刑法关于非法经营罪的规定，依法追究刑事责任；尚不够刑事处罚的，由市场监督管理部门依法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国营贸易企业或者指定经营企业违反本条例第四十八条、第五十二条规定的，由国务院外经贸主管部门予以警告；情节严重的，可以暂停直至取消其国营贸易企业或者指定经营企业资格。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货物进出口管理工作人员在履行货物进出口管理职责中，滥用职权、玩忽职守或者利用职务上的便利收受、索取他人财物的，依照刑法关于滥用职权罪、玩忽职守罪、受贿罪或者其他罪的规定，依法追究刑事责任；尚不够刑事处罚的，依法给予行政处分。</w:t>
      </w:r>
    </w:p>
    <w:p>
      <w:pPr>
        <w:pStyle w:val="3"/>
        <w:spacing w:before="320" w:after="320" w:line="576" w:lineRule="auto"/>
        <w:jc w:val="center"/>
        <w:rPr>
          <w:rFonts w:eastAsia="方正黑体_GBK"/>
        </w:rPr>
      </w:pPr>
      <w:r>
        <w:rPr>
          <w:rFonts w:hint="eastAsia" w:eastAsia="方正黑体_GBK"/>
        </w:rP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对本条例规定的行政机关发放配额、关税配额、许可证或者自动许可证明的决定不服的，对确定国营贸易企业或者指定经营企业资格的决定不服的，或者对行政处罚的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本条例的规定不妨碍依据法律、行政法规对进出口货物采取的关税、检验检疫、安全、环保、知识产权保护等措施。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出口核用品、核两用品、监控化学品、军品等出口管制货物的，依照有关行政法规的规定办理。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对进口货物需要采取反倾销措施、反补贴措施、保障措施的，依照对外贸易法和有关法律、行政法规的规定执行。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法律、行政法规对保税区、出口加工区等特殊经济区的货物进出口管理另有规定的，依照其规定。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国务院外经贸主管</w:t>
      </w:r>
      <w:r>
        <w:rPr>
          <w:rFonts w:hint="eastAsia" w:ascii="仿宋_GB2312" w:hAnsi="仿宋_GB2312" w:eastAsia="仿宋_GB2312" w:cs="仿宋_GB2312"/>
          <w:spacing w:val="-6"/>
          <w:sz w:val="32"/>
          <w:szCs w:val="32"/>
        </w:rPr>
        <w:t>部门负责有关货物进出口贸易的双边或者多边磋商、谈判，并负责贸易争端解决的有关事宜。</w:t>
      </w:r>
    </w:p>
    <w:p>
      <w:pPr>
        <w:ind w:firstLine="640" w:firstLineChars="200"/>
        <w:rPr>
          <w:rFonts w:hint="eastAsia" w:ascii="楷体_GB2312" w:hAnsi="楷体_GB2312" w:eastAsia="楷体_GB2312" w:cs="楷体_GB2312"/>
          <w:spacing w:val="0"/>
          <w:sz w:val="32"/>
          <w:szCs w:val="32"/>
          <w:shd w:val="clear" w:color="auto" w:fill="FFFFFF"/>
        </w:rPr>
      </w:pPr>
      <w:r>
        <w:rPr>
          <w:rFonts w:hint="eastAsia" w:ascii="方正黑体_GBK" w:hAnsi="方正黑体_GBK" w:eastAsia="方正黑体_GBK" w:cs="方正黑体_GBK"/>
          <w:kern w:val="2"/>
          <w:sz w:val="32"/>
          <w:szCs w:val="32"/>
          <w:lang w:val="en-US" w:eastAsia="zh-CN" w:bidi="ar-SA"/>
        </w:rPr>
        <w:t>第七十七条　</w:t>
      </w:r>
      <w:r>
        <w:rPr>
          <w:rFonts w:hint="eastAsia" w:ascii="仿宋_GB2312" w:hAnsi="仿宋_GB2312" w:eastAsia="仿宋_GB2312" w:cs="仿宋_GB2312"/>
          <w:kern w:val="2"/>
          <w:sz w:val="32"/>
          <w:szCs w:val="32"/>
          <w:lang w:val="en-US" w:eastAsia="zh-CN" w:bidi="ar-SA"/>
        </w:rPr>
        <w:t>本条例自2002年1月1日起施行。1984年1月10日国务院发布的《中华人民共和国进口货物许可制度暂行条例》，1992年12月21日国务院批准、1992年12月29日对外经济贸易部发布的《出口商品管理暂行办法》，1993年9月22日国务院批准、1993年10月7日国家经济贸易委员会、对外贸易经济合作部发布的《机电产品进口管理暂行办法》，1993年12月22日国务院批准、1993年12月29日国家计划委员会、对外贸易经济合作部发布的《一般商品进口配额管理暂行办法》，1994年6月13日国务院批准、1994年7月19日对外贸易经济合作部、国家计划委员会发布的《进口商品经营管理暂行办法》，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7B63BF"/>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A4489A"/>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4F2F147A"/>
    <w:rsid w:val="5080370D"/>
    <w:rsid w:val="512A1D93"/>
    <w:rsid w:val="5146198F"/>
    <w:rsid w:val="51F44E31"/>
    <w:rsid w:val="523F45D1"/>
    <w:rsid w:val="524F6E89"/>
    <w:rsid w:val="52695AB4"/>
    <w:rsid w:val="529D4C7B"/>
    <w:rsid w:val="52FE79D3"/>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CD118C4"/>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autoRedefine/>
    <w:unhideWhenUsed/>
    <w:qFormat/>
    <w:uiPriority w:val="99"/>
    <w:pPr>
      <w:spacing w:before="100" w:beforeAutospacing="1" w:after="120"/>
      <w:ind w:left="200" w:leftChars="200"/>
    </w:pPr>
    <w:rPr>
      <w:szCs w:val="21"/>
    </w:rPr>
  </w:style>
  <w:style w:type="paragraph" w:styleId="11">
    <w:name w:val="Plain Text"/>
    <w:basedOn w:val="1"/>
    <w:link w:val="22"/>
    <w:autoRedefine/>
    <w:unhideWhenUsed/>
    <w:qFormat/>
    <w:uiPriority w:val="99"/>
    <w:rPr>
      <w:rFonts w:ascii="宋体" w:hAnsi="Courier New" w:cs="Courier New"/>
      <w:szCs w:val="21"/>
    </w:rPr>
  </w:style>
  <w:style w:type="paragraph" w:styleId="12">
    <w:name w:val="Balloon Text"/>
    <w:basedOn w:val="1"/>
    <w:link w:val="33"/>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3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autoRedefine/>
    <w:semiHidden/>
    <w:unhideWhenUsed/>
    <w:qFormat/>
    <w:uiPriority w:val="99"/>
    <w:rPr>
      <w:vertAlign w:val="superscript"/>
    </w:rPr>
  </w:style>
  <w:style w:type="character" w:customStyle="1" w:styleId="22">
    <w:name w:val="纯文本 Char"/>
    <w:basedOn w:val="20"/>
    <w:link w:val="11"/>
    <w:autoRedefine/>
    <w:qFormat/>
    <w:uiPriority w:val="99"/>
    <w:rPr>
      <w:rFonts w:ascii="宋体" w:hAnsi="Courier New" w:eastAsia="宋体" w:cs="Courier New"/>
      <w:szCs w:val="21"/>
    </w:rPr>
  </w:style>
  <w:style w:type="character" w:customStyle="1" w:styleId="23">
    <w:name w:val="页眉 Char"/>
    <w:basedOn w:val="20"/>
    <w:link w:val="14"/>
    <w:autoRedefine/>
    <w:qFormat/>
    <w:uiPriority w:val="99"/>
    <w:rPr>
      <w:sz w:val="18"/>
      <w:szCs w:val="18"/>
    </w:rPr>
  </w:style>
  <w:style w:type="character" w:customStyle="1" w:styleId="24">
    <w:name w:val="页脚 Char"/>
    <w:basedOn w:val="20"/>
    <w:link w:val="13"/>
    <w:autoRedefine/>
    <w:qFormat/>
    <w:uiPriority w:val="99"/>
    <w:rPr>
      <w:sz w:val="18"/>
      <w:szCs w:val="18"/>
    </w:rPr>
  </w:style>
  <w:style w:type="character" w:customStyle="1" w:styleId="25">
    <w:name w:val="标题 1 Char"/>
    <w:basedOn w:val="20"/>
    <w:link w:val="2"/>
    <w:autoRedefine/>
    <w:qFormat/>
    <w:uiPriority w:val="9"/>
    <w:rPr>
      <w:rFonts w:eastAsia="黑体" w:asciiTheme="minorHAnsi" w:hAnsiTheme="minorHAnsi"/>
      <w:bCs/>
      <w:kern w:val="44"/>
      <w:sz w:val="32"/>
      <w:szCs w:val="44"/>
    </w:rPr>
  </w:style>
  <w:style w:type="character" w:customStyle="1" w:styleId="26">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autoRedefine/>
    <w:semiHidden/>
    <w:qFormat/>
    <w:uiPriority w:val="9"/>
    <w:rPr>
      <w:rFonts w:eastAsia="方正楷体_GBK" w:asciiTheme="minorHAnsi" w:hAnsiTheme="minorHAnsi"/>
      <w:b/>
      <w:bCs/>
      <w:sz w:val="32"/>
      <w:szCs w:val="32"/>
    </w:rPr>
  </w:style>
  <w:style w:type="character" w:customStyle="1" w:styleId="28">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autoRedefine/>
    <w:semiHidden/>
    <w:qFormat/>
    <w:uiPriority w:val="9"/>
    <w:rPr>
      <w:b/>
      <w:bCs/>
      <w:sz w:val="28"/>
      <w:szCs w:val="28"/>
    </w:rPr>
  </w:style>
  <w:style w:type="character" w:customStyle="1" w:styleId="30">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autoRedefine/>
    <w:semiHidden/>
    <w:qFormat/>
    <w:uiPriority w:val="9"/>
    <w:rPr>
      <w:b/>
      <w:bCs/>
      <w:sz w:val="24"/>
      <w:szCs w:val="24"/>
    </w:rPr>
  </w:style>
  <w:style w:type="character" w:customStyle="1" w:styleId="32">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autoRedefine/>
    <w:semiHidden/>
    <w:qFormat/>
    <w:uiPriority w:val="99"/>
    <w:rPr>
      <w:kern w:val="2"/>
      <w:sz w:val="18"/>
      <w:szCs w:val="18"/>
    </w:rPr>
  </w:style>
  <w:style w:type="character" w:customStyle="1" w:styleId="34">
    <w:name w:val="15"/>
    <w:basedOn w:val="20"/>
    <w:autoRedefine/>
    <w:qFormat/>
    <w:uiPriority w:val="0"/>
    <w:rPr>
      <w:rFonts w:hint="default" w:ascii="Times New Roman" w:hAnsi="Times New Roman" w:cs="Times New Roman"/>
      <w:b/>
      <w:bCs/>
    </w:rPr>
  </w:style>
  <w:style w:type="character" w:customStyle="1" w:styleId="35">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36">
    <w:name w:val="标题 Char"/>
    <w:basedOn w:val="20"/>
    <w:link w:val="17"/>
    <w:autoRedefine/>
    <w:qFormat/>
    <w:uiPriority w:val="0"/>
    <w:rPr>
      <w:rFonts w:hint="default" w:ascii="Cambria" w:hAnsi="Cambria" w:eastAsia="宋体" w:cs="Cambria"/>
      <w:b/>
      <w:kern w:val="2"/>
      <w:sz w:val="32"/>
      <w:szCs w:val="32"/>
    </w:rPr>
  </w:style>
  <w:style w:type="character" w:customStyle="1" w:styleId="37">
    <w:name w:val="页脚 Char1"/>
    <w:basedOn w:val="20"/>
    <w:link w:val="13"/>
    <w:autoRedefine/>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8</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2024-03-16T13:41:25Z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