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73081B" w14:textId="77777777" w:rsidR="00B21F8A" w:rsidRDefault="00B21F8A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</w:p>
    <w:p w14:paraId="780AA470" w14:textId="77777777" w:rsidR="00B21F8A" w:rsidRDefault="00F522A5">
      <w:pPr>
        <w:pStyle w:val="a3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外国籍非军用船舶通过琼州海峡管理规则</w:t>
      </w:r>
    </w:p>
    <w:p w14:paraId="4B53491C" w14:textId="77777777" w:rsidR="00B21F8A" w:rsidRDefault="00B21F8A">
      <w:pPr>
        <w:pStyle w:val="a3"/>
        <w:ind w:firstLineChars="200" w:firstLine="640"/>
        <w:rPr>
          <w:rFonts w:ascii="Times New Roman" w:eastAsia="楷体_GB2312" w:hAnsi="Times New Roman" w:cs="Times New Roman"/>
          <w:sz w:val="32"/>
          <w:szCs w:val="32"/>
        </w:rPr>
      </w:pPr>
    </w:p>
    <w:p w14:paraId="55288AB7" w14:textId="77777777" w:rsidR="00B21F8A" w:rsidRDefault="00F522A5">
      <w:pPr>
        <w:pStyle w:val="a3"/>
        <w:ind w:leftChars="100" w:left="210" w:firstLineChars="100" w:firstLine="32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(1964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6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5</w:t>
      </w:r>
      <w:r>
        <w:rPr>
          <w:rFonts w:ascii="楷体_GB2312" w:eastAsia="楷体_GB2312" w:hAnsi="楷体_GB2312" w:cs="楷体_GB2312" w:hint="eastAsia"/>
          <w:sz w:val="32"/>
          <w:szCs w:val="32"/>
        </w:rPr>
        <w:t>日国务院全体会议第</w:t>
      </w:r>
      <w:r>
        <w:rPr>
          <w:rFonts w:ascii="楷体_GB2312" w:eastAsia="楷体_GB2312" w:hAnsi="楷体_GB2312" w:cs="楷体_GB2312" w:hint="eastAsia"/>
          <w:sz w:val="32"/>
          <w:szCs w:val="32"/>
        </w:rPr>
        <w:t>1</w:t>
      </w:r>
      <w:r>
        <w:rPr>
          <w:rFonts w:ascii="楷体_GB2312" w:eastAsia="楷体_GB2312" w:hAnsi="楷体_GB2312" w:cs="楷体_GB2312"/>
          <w:sz w:val="32"/>
          <w:szCs w:val="32"/>
        </w:rPr>
        <w:t>45</w:t>
      </w:r>
      <w:r>
        <w:rPr>
          <w:rFonts w:ascii="楷体_GB2312" w:eastAsia="楷体_GB2312" w:hAnsi="楷体_GB2312" w:cs="楷体_GB2312" w:hint="eastAsia"/>
          <w:sz w:val="32"/>
          <w:szCs w:val="32"/>
        </w:rPr>
        <w:t>次会议通过</w:t>
      </w:r>
      <w:r>
        <w:rPr>
          <w:rFonts w:ascii="楷体_GB2312" w:eastAsia="楷体_GB2312" w:hAnsi="楷体_GB2312" w:cs="楷体_GB2312" w:hint="eastAsia"/>
          <w:sz w:val="32"/>
          <w:szCs w:val="32"/>
        </w:rPr>
        <w:t xml:space="preserve"> 1964</w:t>
      </w:r>
      <w:r>
        <w:rPr>
          <w:rFonts w:ascii="楷体_GB2312" w:eastAsia="楷体_GB2312" w:hAnsi="楷体_GB2312" w:cs="楷体_GB2312" w:hint="eastAsia"/>
          <w:sz w:val="32"/>
          <w:szCs w:val="32"/>
        </w:rPr>
        <w:t>年</w:t>
      </w:r>
      <w:r>
        <w:rPr>
          <w:rFonts w:ascii="楷体_GB2312" w:eastAsia="楷体_GB2312" w:hAnsi="楷体_GB2312" w:cs="楷体_GB2312" w:hint="eastAsia"/>
          <w:sz w:val="32"/>
          <w:szCs w:val="32"/>
        </w:rPr>
        <w:t>6</w:t>
      </w:r>
      <w:r>
        <w:rPr>
          <w:rFonts w:ascii="楷体_GB2312" w:eastAsia="楷体_GB2312" w:hAnsi="楷体_GB2312" w:cs="楷体_GB2312" w:hint="eastAsia"/>
          <w:sz w:val="32"/>
          <w:szCs w:val="32"/>
        </w:rPr>
        <w:t>月</w:t>
      </w:r>
      <w:r>
        <w:rPr>
          <w:rFonts w:ascii="楷体_GB2312" w:eastAsia="楷体_GB2312" w:hAnsi="楷体_GB2312" w:cs="楷体_GB2312" w:hint="eastAsia"/>
          <w:sz w:val="32"/>
          <w:szCs w:val="32"/>
        </w:rPr>
        <w:t>8</w:t>
      </w:r>
      <w:r>
        <w:rPr>
          <w:rFonts w:ascii="楷体_GB2312" w:eastAsia="楷体_GB2312" w:hAnsi="楷体_GB2312" w:cs="楷体_GB2312" w:hint="eastAsia"/>
          <w:sz w:val="32"/>
          <w:szCs w:val="32"/>
        </w:rPr>
        <w:t>日国务院公布施行</w:t>
      </w:r>
      <w:r>
        <w:rPr>
          <w:rFonts w:ascii="楷体_GB2312" w:eastAsia="楷体_GB2312" w:hAnsi="楷体_GB2312" w:cs="楷体_GB2312" w:hint="eastAsia"/>
          <w:sz w:val="32"/>
          <w:szCs w:val="32"/>
        </w:rPr>
        <w:t>)</w:t>
      </w:r>
    </w:p>
    <w:p w14:paraId="0F5E7CA1" w14:textId="77777777" w:rsidR="00B21F8A" w:rsidRDefault="00B21F8A">
      <w:pPr>
        <w:pStyle w:val="a3"/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14:paraId="36DFE06A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第一条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根据《中华人民共和国政府关于领海的声明》，琼州海峡是中国的内海，一切外国籍军用船舶不得通过，一切外国籍非军用船舶如需通过，必须按照本规则的规定申请批准。</w:t>
      </w:r>
    </w:p>
    <w:p w14:paraId="45B117A0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第二条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为便利对琼州海峡进行管理，设</w:t>
      </w:r>
      <w:r>
        <w:rPr>
          <w:rFonts w:ascii="仿宋_GB2312" w:eastAsia="仿宋_GB2312" w:hAnsi="宋体" w:cs="Times New Roman" w:hint="eastAsia"/>
          <w:sz w:val="32"/>
          <w:szCs w:val="32"/>
        </w:rPr>
        <w:t>“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中华人民共和国琼州海峡管理处</w:t>
      </w:r>
      <w:r>
        <w:rPr>
          <w:rFonts w:ascii="仿宋_GB2312" w:eastAsia="仿宋_GB2312" w:hAnsi="宋体" w:cs="Times New Roman" w:hint="eastAsia"/>
          <w:sz w:val="32"/>
          <w:szCs w:val="32"/>
        </w:rPr>
        <w:t>”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以下简称琼州海峡管理处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。</w:t>
      </w:r>
    </w:p>
    <w:p w14:paraId="35E43C27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本规则由琼州海峡管理处监督执行。</w:t>
      </w:r>
    </w:p>
    <w:p w14:paraId="0FE474A5" w14:textId="59EBD60D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第三条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琼州海峡管理处对琼州海峡管理的区域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以下简称管理区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暂定如下：木栏头灯桩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约北纬二十度零九分三十七秒、东经一百一十度四十一分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与生狗吼沙灯桩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约北纬二十度二十六分、东经一百一十度三十分二十二秒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联线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简称东线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以西，</w:t>
      </w:r>
      <w:r w:rsidR="00E5033E" w:rsidRPr="002927CD">
        <w:rPr>
          <w:rFonts w:ascii="仿宋" w:eastAsia="仿宋" w:hAnsi="仿宋" w:hint="eastAsia"/>
          <w:sz w:val="32"/>
          <w:szCs w:val="32"/>
        </w:rPr>
        <w:t>滘</w:t>
      </w:r>
      <w:r>
        <w:rPr>
          <w:rFonts w:ascii="仿宋_GB2312" w:eastAsia="仿宋_GB2312" w:hAnsi="Times New Roman" w:cs="Times New Roman" w:hint="eastAsia"/>
          <w:sz w:val="32"/>
          <w:szCs w:val="32"/>
        </w:rPr>
        <w:t>尾角灯桩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约北纬二十度十三分三十秒、东经一百零九度五十五分三十秒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与临高角灯桩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约北纬二十度零零分二十二秒、东经一百零九度四十二分零六秒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联线</w:t>
      </w: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简称西线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以东的水域。</w:t>
      </w:r>
    </w:p>
    <w:p w14:paraId="4A5B9490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第四条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外国籍非军用船舶如需通过琼州海峡，必须办</w:t>
      </w: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理以下手续：</w:t>
      </w:r>
    </w:p>
    <w:p w14:paraId="365F421D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一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在进入管理区四十八小时以前或在开出港启航以前，将船名、国籍、</w:t>
      </w:r>
      <w:r>
        <w:rPr>
          <w:rFonts w:ascii="仿宋_GB2312" w:eastAsia="仿宋_GB2312" w:hAnsi="Times New Roman" w:cs="Times New Roman" w:hint="eastAsia"/>
          <w:sz w:val="32"/>
          <w:szCs w:val="32"/>
        </w:rPr>
        <w:t>总吨、航速、船身颜色、烟囱标志以及何日、何时由何地开往何处等情况，详细电报琼州海峡管理处，请求过峡。</w:t>
      </w:r>
    </w:p>
    <w:p w14:paraId="7F78184A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二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接到批准过峡的通知后，应在进入管理区二十四小时以前或在开出港启航后二小时内，向琼州海峡管理处确报进入管理区的时间。</w:t>
      </w:r>
    </w:p>
    <w:p w14:paraId="3D48D335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以上请求过峡和批准过峡等的来往电报，均由中国外轮代理公司海口分公司代转。</w:t>
      </w:r>
    </w:p>
    <w:p w14:paraId="2DDB69B4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第五条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琼州海峡管理处对于已经批准通过海峡的外国籍非军用船舶，认为必要时，可以临时通知禁止通过。</w:t>
      </w:r>
    </w:p>
    <w:p w14:paraId="5572E2E0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第六条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外国籍非军用船舶通过管理区的时间，一律以白天为限，均应在日出后进入管理区，日落前全部通过管理区。琼州海峡管理处根据申请过峡外国籍非军用船舶的航速，核准其进出海峡的具体时间。</w:t>
      </w:r>
    </w:p>
    <w:p w14:paraId="337685F7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第七条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外国籍非军用船舶进出琼州海峡一律走中水道，但经琼州海峡管理处特别许可的不在此限。</w:t>
      </w:r>
    </w:p>
    <w:p w14:paraId="64FE1F5B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第八条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外国籍非军用船舶通过管理区时，应在下列规定的航区范围内航行：自东线距木栏头灯桩四</w:t>
      </w:r>
      <w:r>
        <w:rPr>
          <w:rFonts w:ascii="仿宋" w:eastAsia="仿宋" w:hAnsi="仿宋" w:hint="eastAsia"/>
          <w:sz w:val="32"/>
          <w:szCs w:val="32"/>
        </w:rPr>
        <w:t>浬</w:t>
      </w:r>
      <w:r>
        <w:rPr>
          <w:rFonts w:ascii="仿宋_GB2312" w:eastAsia="仿宋_GB2312" w:hAnsi="仿宋_GB2312" w:cs="仿宋_GB2312" w:hint="eastAsia"/>
          <w:sz w:val="32"/>
          <w:szCs w:val="32"/>
        </w:rPr>
        <w:t>处至西线距临高角灯桩</w:t>
      </w:r>
      <w:r>
        <w:rPr>
          <w:rFonts w:ascii="仿宋_GB2312" w:eastAsia="仿宋_GB2312" w:hAnsi="Times New Roman" w:cs="Times New Roman" w:hint="eastAsia"/>
          <w:sz w:val="32"/>
          <w:szCs w:val="32"/>
        </w:rPr>
        <w:t>四</w:t>
      </w:r>
      <w:r>
        <w:rPr>
          <w:rFonts w:ascii="仿宋" w:eastAsia="仿宋" w:hAnsi="仿宋" w:hint="eastAsia"/>
          <w:sz w:val="32"/>
          <w:szCs w:val="32"/>
        </w:rPr>
        <w:t>浬</w:t>
      </w:r>
      <w:r>
        <w:rPr>
          <w:rFonts w:ascii="仿宋_GB2312" w:eastAsia="仿宋_GB2312" w:hAnsi="仿宋_GB2312" w:cs="仿宋_GB2312" w:hint="eastAsia"/>
          <w:sz w:val="32"/>
          <w:szCs w:val="32"/>
        </w:rPr>
        <w:t>处联线以北</w:t>
      </w:r>
      <w:r>
        <w:rPr>
          <w:rFonts w:ascii="仿宋_GB2312" w:eastAsia="仿宋_GB2312" w:hAnsi="Times New Roman" w:cs="Times New Roman" w:hint="eastAsia"/>
          <w:sz w:val="32"/>
          <w:szCs w:val="32"/>
        </w:rPr>
        <w:t>，自东线距木栏头灯桩六</w:t>
      </w:r>
      <w:r>
        <w:rPr>
          <w:rFonts w:ascii="仿宋" w:eastAsia="仿宋" w:hAnsi="仿宋" w:hint="eastAsia"/>
          <w:sz w:val="32"/>
          <w:szCs w:val="32"/>
        </w:rPr>
        <w:t>浬</w:t>
      </w:r>
      <w:r>
        <w:rPr>
          <w:rFonts w:ascii="仿宋_GB2312" w:eastAsia="仿宋_GB2312" w:hAnsi="仿宋_GB2312" w:cs="仿宋_GB2312" w:hint="eastAsia"/>
          <w:sz w:val="32"/>
          <w:szCs w:val="32"/>
        </w:rPr>
        <w:t>处至排尾角灯桩正南</w:t>
      </w:r>
      <w:r>
        <w:rPr>
          <w:rFonts w:ascii="仿宋_GB2312" w:eastAsia="仿宋_GB2312" w:hAnsi="Times New Roman" w:cs="Times New Roman" w:hint="eastAsia"/>
          <w:sz w:val="32"/>
          <w:szCs w:val="32"/>
        </w:rPr>
        <w:t>四</w:t>
      </w:r>
      <w:r>
        <w:rPr>
          <w:rFonts w:ascii="仿宋" w:eastAsia="仿宋" w:hAnsi="仿宋" w:hint="eastAsia"/>
          <w:sz w:val="32"/>
          <w:szCs w:val="32"/>
        </w:rPr>
        <w:t>浬</w:t>
      </w:r>
      <w:r>
        <w:rPr>
          <w:rFonts w:ascii="仿宋_GB2312" w:eastAsia="仿宋_GB2312" w:hAnsi="仿宋_GB2312" w:cs="仿宋_GB2312" w:hint="eastAsia"/>
          <w:sz w:val="32"/>
          <w:szCs w:val="32"/>
        </w:rPr>
        <w:t>处继至西线距临高角灯桩十</w:t>
      </w:r>
      <w:r>
        <w:rPr>
          <w:rFonts w:ascii="仿宋_GB2312" w:eastAsia="仿宋_GB2312" w:hAnsi="Times New Roman" w:cs="Times New Roman" w:hint="eastAsia"/>
          <w:sz w:val="32"/>
          <w:szCs w:val="32"/>
        </w:rPr>
        <w:t>四</w:t>
      </w:r>
      <w:r>
        <w:rPr>
          <w:rFonts w:ascii="仿宋" w:eastAsia="仿宋" w:hAnsi="仿宋" w:hint="eastAsia"/>
          <w:sz w:val="32"/>
          <w:szCs w:val="32"/>
        </w:rPr>
        <w:t>浬</w:t>
      </w:r>
      <w:r>
        <w:rPr>
          <w:rFonts w:ascii="仿宋_GB2312" w:eastAsia="仿宋_GB2312" w:hAnsi="仿宋_GB2312" w:cs="仿宋_GB2312" w:hint="eastAsia"/>
          <w:sz w:val="32"/>
          <w:szCs w:val="32"/>
        </w:rPr>
        <w:t>处联</w:t>
      </w:r>
      <w:r>
        <w:rPr>
          <w:rFonts w:ascii="仿宋_GB2312" w:eastAsia="仿宋_GB2312" w:hAnsi="仿宋_GB2312" w:cs="仿宋_GB2312" w:hint="eastAsia"/>
          <w:sz w:val="32"/>
          <w:szCs w:val="32"/>
        </w:rPr>
        <w:lastRenderedPageBreak/>
        <w:t>线以南的水域。</w:t>
      </w:r>
    </w:p>
    <w:p w14:paraId="0405E2F8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第九条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外国籍非军用船舶通过琼</w:t>
      </w:r>
      <w:r>
        <w:rPr>
          <w:rFonts w:ascii="仿宋_GB2312" w:eastAsia="仿宋_GB2312" w:hAnsi="Times New Roman" w:cs="Times New Roman" w:hint="eastAsia"/>
          <w:sz w:val="32"/>
          <w:szCs w:val="32"/>
        </w:rPr>
        <w:t>州海峡，必须严格按照所报时间及规定的航区通行。在进入管理区和在管理区通行时，如见有从岸上或舰艇上发出的信号，应立即回答并无条件地执行信号要求。由于不遵守上述规定而发生的后果概由船方自行负责。</w:t>
      </w:r>
    </w:p>
    <w:p w14:paraId="70E0EFB3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外国籍非军用船舶通过琼州海峡时，不得使用雷达。如在航行中遇浓雾、暴雨等视线恶劣的情况，需要使用雷达时，应向琼州海峡管理处提出报告，说明理由以及当时的船位、航速等，经批准后方准使用。如当时情况紧急，危及船舶航行安全时，可以一面申报一面使用，并在事后，将使用起迄时间和经过情况详细报告琼州海峡管理处备案。</w:t>
      </w:r>
    </w:p>
    <w:p w14:paraId="00589B4B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第十一条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外国籍非军用船舶通过琼州海峡时，不准进行照像、测量以及其他违反中华人民共和国法令的行为。</w:t>
      </w:r>
    </w:p>
    <w:p w14:paraId="624A4A0F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 xml:space="preserve">第十二条　</w:t>
      </w:r>
      <w:r>
        <w:rPr>
          <w:rFonts w:ascii="仿宋_GB2312" w:eastAsia="仿宋_GB2312" w:hAnsi="Times New Roman" w:cs="Times New Roman" w:hint="eastAsia"/>
          <w:sz w:val="32"/>
          <w:szCs w:val="32"/>
        </w:rPr>
        <w:t>外国籍非军用船舶违反本规则，按下列规定处理：</w:t>
      </w:r>
    </w:p>
    <w:p w14:paraId="57081C08" w14:textId="77777777" w:rsidR="00B21F8A" w:rsidRDefault="00F522A5">
      <w:pPr>
        <w:pStyle w:val="a3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一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在未进入管理区之前，可以命令其停止进入管理区，由原路返航绕海南岛航行，或者俟其办妥过峡手续并经批准后，再行过峡。</w:t>
      </w:r>
    </w:p>
    <w:p w14:paraId="6D284D6C" w14:textId="77777777" w:rsidR="00B21F8A" w:rsidRDefault="00F522A5">
      <w:pPr>
        <w:ind w:firstLineChars="200" w:firstLine="640"/>
        <w:rPr>
          <w:rFonts w:ascii="仿宋_GB2312" w:eastAsia="仿宋_GB231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(</w:t>
      </w:r>
      <w:r>
        <w:rPr>
          <w:rFonts w:ascii="仿宋_GB2312" w:eastAsia="仿宋_GB2312" w:hAnsi="Times New Roman" w:cs="Times New Roman" w:hint="eastAsia"/>
          <w:sz w:val="32"/>
          <w:szCs w:val="32"/>
        </w:rPr>
        <w:t>二</w:t>
      </w:r>
      <w:r>
        <w:rPr>
          <w:rFonts w:ascii="仿宋_GB2312" w:eastAsia="仿宋_GB2312" w:hAnsi="Times New Roman" w:cs="Times New Roman" w:hint="eastAsia"/>
          <w:sz w:val="32"/>
          <w:szCs w:val="32"/>
        </w:rPr>
        <w:t>)</w:t>
      </w:r>
      <w:r>
        <w:rPr>
          <w:rFonts w:ascii="仿宋_GB2312" w:eastAsia="仿宋_GB2312" w:hAnsi="Times New Roman" w:cs="Times New Roman" w:hint="eastAsia"/>
          <w:sz w:val="32"/>
          <w:szCs w:val="32"/>
        </w:rPr>
        <w:t>如果已经进入管理区，可以命令其停航并监送至海口港进行检查，根据检查情况给予处分。在处理后，视情况可以准其通过管理区，或令其退出管理区，直到押送其退出</w:t>
      </w:r>
      <w:r>
        <w:rPr>
          <w:rFonts w:ascii="仿宋_GB2312" w:eastAsia="仿宋_GB2312" w:hAnsi="Times New Roman" w:cs="Times New Roman" w:hint="eastAsia"/>
          <w:sz w:val="32"/>
          <w:szCs w:val="32"/>
        </w:rPr>
        <w:lastRenderedPageBreak/>
        <w:t>海峡。</w:t>
      </w:r>
    </w:p>
    <w:sectPr w:rsidR="00B21F8A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C21E44" w14:textId="77777777" w:rsidR="00F522A5" w:rsidRDefault="00F522A5">
      <w:r>
        <w:separator/>
      </w:r>
    </w:p>
  </w:endnote>
  <w:endnote w:type="continuationSeparator" w:id="0">
    <w:p w14:paraId="0D0A507B" w14:textId="77777777" w:rsidR="00F522A5" w:rsidRDefault="00F522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楷体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05FEBE" w14:textId="77777777" w:rsidR="00B21F8A" w:rsidRDefault="00F522A5">
    <w:pPr>
      <w:pStyle w:val="a4"/>
    </w:pPr>
    <w:r>
      <w:pict w14:anchorId="43D11648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92.8pt;margin-top:0;width:2in;height:2in;z-index:251658240;mso-wrap-style:none;mso-position-horizontal:outside;mso-position-horizontal-relative:margin;mso-width-relative:page;mso-height-relative:page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5LOmo8ICAADWBQAADgAAAAAA&#10;AAABACAAAAAfAQAAZHJzL2Uyb0RvYy54bWxQSwUGAAAAAAYABgBZAQAAUwYAAAAA&#10;" filled="f" stroked="f" strokeweight=".5pt">
          <v:textbox style="mso-fit-shape-to-text:t" inset="0,0,0,0">
            <w:txbxContent>
              <w:p w14:paraId="47509A21" w14:textId="77777777" w:rsidR="00B21F8A" w:rsidRDefault="00F522A5">
                <w:pPr>
                  <w:pStyle w:val="a4"/>
                </w:pPr>
                <w:r>
                  <w:rPr>
                    <w:rFonts w:hint="eastAsia"/>
                    <w:sz w:val="24"/>
                    <w:szCs w:val="24"/>
                  </w:rPr>
                  <w:fldChar w:fldCharType="begin"/>
                </w:r>
                <w:r>
                  <w:rPr>
                    <w:rFonts w:hint="eastAsia"/>
                    <w:sz w:val="24"/>
                    <w:szCs w:val="24"/>
                  </w:rPr>
                  <w:instrText xml:space="preserve"> PAGE  \* MERGEFORMAT </w:instrText>
                </w:r>
                <w:r>
                  <w:rPr>
                    <w:rFonts w:hint="eastAsia"/>
                    <w:sz w:val="24"/>
                    <w:szCs w:val="24"/>
                  </w:rPr>
                  <w:fldChar w:fldCharType="separate"/>
                </w:r>
                <w:r>
                  <w:rPr>
                    <w:sz w:val="24"/>
                    <w:szCs w:val="24"/>
                  </w:rPr>
                  <w:t>- 1 -</w:t>
                </w:r>
                <w:r>
                  <w:rPr>
                    <w:rFonts w:hint="eastAsia"/>
                    <w:sz w:val="24"/>
                    <w:szCs w:val="24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589791" w14:textId="77777777" w:rsidR="00F522A5" w:rsidRDefault="00F522A5">
      <w:r>
        <w:separator/>
      </w:r>
    </w:p>
  </w:footnote>
  <w:footnote w:type="continuationSeparator" w:id="0">
    <w:p w14:paraId="65DCDF2C" w14:textId="77777777" w:rsidR="00F522A5" w:rsidRDefault="00F522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1B126417"/>
    <w:rsid w:val="00030695"/>
    <w:rsid w:val="0006165F"/>
    <w:rsid w:val="0027130B"/>
    <w:rsid w:val="002927CD"/>
    <w:rsid w:val="004A7A8B"/>
    <w:rsid w:val="006A0DAE"/>
    <w:rsid w:val="006D39A7"/>
    <w:rsid w:val="00727C9C"/>
    <w:rsid w:val="00742505"/>
    <w:rsid w:val="00893CD7"/>
    <w:rsid w:val="009A5285"/>
    <w:rsid w:val="009B0E75"/>
    <w:rsid w:val="00B21F8A"/>
    <w:rsid w:val="00B92F0E"/>
    <w:rsid w:val="00B971E2"/>
    <w:rsid w:val="00DF786B"/>
    <w:rsid w:val="00E5033E"/>
    <w:rsid w:val="00F02723"/>
    <w:rsid w:val="00F522A5"/>
    <w:rsid w:val="03D22629"/>
    <w:rsid w:val="14641C9B"/>
    <w:rsid w:val="1B126417"/>
    <w:rsid w:val="385325A6"/>
    <w:rsid w:val="5BC21EEA"/>
    <w:rsid w:val="5C31605B"/>
    <w:rsid w:val="65811B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."/>
  <w:listSeparator w:val=","/>
  <w14:docId w14:val="39BDD336"/>
  <w15:docId w15:val="{FF3C2290-5DCA-4DE0-88F8-826CD6DC3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uiPriority="99" w:unhideWhenUsed="1" w:qFormat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uiPriority w:val="99"/>
    <w:unhideWhenUsed/>
    <w:qFormat/>
    <w:rPr>
      <w:rFonts w:ascii="宋体" w:eastAsia="宋体" w:hAnsi="Courier New" w:cs="Courier New"/>
      <w:szCs w:val="21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50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209</Words>
  <Characters>1194</Characters>
  <Application>Microsoft Office Word</Application>
  <DocSecurity>0</DocSecurity>
  <Lines>9</Lines>
  <Paragraphs>2</Paragraphs>
  <ScaleCrop>false</ScaleCrop>
  <Company>Microsoft</Company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 僚</cp:lastModifiedBy>
  <cp:revision>25</cp:revision>
  <cp:lastPrinted>2019-05-25T02:36:00Z</cp:lastPrinted>
  <dcterms:created xsi:type="dcterms:W3CDTF">2019-05-22T15:12:00Z</dcterms:created>
  <dcterms:modified xsi:type="dcterms:W3CDTF">2020-11-26T08:14:00Z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2052-10.1.0.6554</vt:lpwstr>
  </property>
</Properties>
</file>