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未成年人网络保护条例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(2023年9月20日国务院第15次常务会议通过</w:t>
      </w:r>
      <w:r>
        <w:rPr>
          <w:rFonts w:hint="eastAsia" w:ascii="楷体_GB2312" w:hAnsi="楷体_GB2312" w:eastAsia="楷体_GB2312" w:cs="楷体_GB2312"/>
          <w:bCs/>
          <w:spacing w:val="0"/>
          <w:kern w:val="2"/>
          <w:sz w:val="32"/>
          <w:szCs w:val="32"/>
          <w:shd w:val="clear" w:color="auto" w:fill="FFFFFF"/>
          <w:lang w:val="en-US" w:eastAsia="zh-CN" w:bidi="ar-SA"/>
        </w:rPr>
        <w:t>　2023年10月16日中华人民共和国国务院令第766号公布　自2024年1月1日起施行)</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为了营造有利于未成年人身心健康的网络环境，保障未成年人合法权益，根据《中华人民共和国未成年人保护法》、《中华人民共和国网络安全法》、《中华人民共和国个人信息保护法》等法律，制定本条例。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未成年人网络保护工作应当坚持中国共产党的领导，坚持以社会主义核心价值观为引领，坚持最有利于未成年人的原则，适应未成年人身心健康发展和网络空间的规律和特点，实行社会共治。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国家网信部门负责统筹协调未成年人网络保护工作，并依据职责做好未成年人网络保护工作。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国家新闻出版、电影部门和国务院教育、电信、公安、民政、文化和旅游、卫生健康、市场监督管理、广播电视等有关部门依据各自职责做好未成年人网络保护工作。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县级以上地方人民政府及其有关部门依据各自职责做好未成年人网络保护工作。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共产主义青年团、妇女联合会、工会、残疾人联合会、关心下一代工作委员会、青年联合会、学生联合会、少年先锋队以及其他人民团体、有关社会组织、基层群众性自治组织，协助有关部门做好未成年人网络保护工作，维护未成年人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学校、家庭应当教育引导未成年人参加有益身心健康的活动，科学、文明、安全、合理使用网络，预防和干预未成年人沉迷网络。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网络产品和服务提供者、个人信息处理者、智能终端产品制造者和销售者应当遵守法律、行政法规和国家有关规定，尊重社会公德，遵守商业道德，诚实信用，履行未成年人网络保护义务，承担社会责任。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网络产品和服务提供者、个人信息处理者、智能终端产品制造者和销售者应当接受政府和社会的监督，配合有关部门依法实施涉及未成年人网络保护工作的监督检查，建立便捷、合理、有效的投诉、举报渠道，通过显著方式公布投诉、举报途径和方法，及时受理并处理公众投诉、举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任何组织和个人发现违反本条例规定的，可以向网信、新闻出版、电影、教育、电信、公安、民政、文化和旅游、卫生健康、市场监督管理、广播电视等有关部门投诉、举报。收到投诉、举报的部门应当及时依法作出处理；不属于本部门职责的，应当及时移送有权处理的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网络相关行业组织应当加强行业自律，制定未成年人网络保护相关行业规范，指导会员履行未成年人网络保护义务，加强对未成年人的网络保护。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新闻媒体应当通过新闻报道、专题栏目(节目)、公益广告等方式，开展未成年人网络保护法律法规、政策措施、典型案例和有关知识的宣传，对侵犯未成年人合法权益的行为进行舆论监督，引导全社会共同参与未成年人网络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国家鼓励和支持在未成年人网络保护领域加强科学研究和人才培养，开展国际交流与合作。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对在未成年人网络保护工作中作出突出贡献的组织和个人，按照国家有关规定给予表彰和奖励。</w:t>
      </w:r>
    </w:p>
    <w:p>
      <w:pPr>
        <w:pStyle w:val="3"/>
        <w:bidi w:val="0"/>
      </w:pPr>
      <w:r>
        <w:t>第二章　网络素养促进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国务院教育部门应当将网络素养教育纳入学校素质教育内容，并会同国家网信部门制定未成年人网络素养测评指标。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教育部门应当指导、支持学校开展未成年人网络素养教育，围绕网络道德意识形成、网络法治观念培养、网络使用能力建设、人身财产安全保护等，培育未成年人网络安全意识、文明素养、行为习惯和防护技能。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县级以上人民政府应当科学规划、合理布局，促进公益性上网服务均衡协调发展，加强提供公益性上网服务的公共文化设施建设，改善未成年人上网条件。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县级以上地方人民政府应当通过为中小学校配备具有相应专业能力的指导教师、政府购买服务或者鼓励中小学校自行采购相关服务等方式，为学生提供优质的网络素养教育课程。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学校、社区、图书馆、文化馆、青少年宫等场所为未成年人提供互联网上网服务设施的，应当通过安排专业人员、招募志愿者等方式，以及安装未成年人网络保护软件或者采取其他安全保护技术措施，为未成年人提供上网指导和安全、健康的上网环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学校应当将提高学生网络素养等内容纳入教育教学活动，并合理使用网络开展教学活动，建立健全学生在校期间上网的管理制度，依法规范管理未成年学生带入学校的智能终端产品，帮助学生养成良好上网习惯，培养学生网络安全和网络法治意识，增强学生对网络信息的获取和分析判断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未成年人的监护人应当加强家庭家教家风建设，提高自身网络素养，规范自身使用网络的行为，加强对未成年人使用网络行为的教育、示范、引导和监督。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家鼓励和支持研发、生产和使用专门以未成年人为服务对象、适应未成年人身心健康发展规律和特点的网络保护软件、智能终端产品和未成年人模式、未成年人专区等网络技术、产品、服务，加强网络无障碍环境建设和改造，促进未成年人开阔眼界、陶冶情操、提高素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未成年人网络保护软件、专门供未成年人使用的智能终端产品应当具有有效识别违法信息和可能影响未成年人身心健康的信息、保护未成年人个人信息权益、预防未成年人沉迷网络、便于监护人履行监护职责等功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网信部门会同国务院有关部门根据未成年人网络保护工作的需要，明确未成年人网络保护软件、专门供未成年人使用的智能终端产品的相关技术标准或者要求，指导监督网络相关行业组织按照有关技术标准和要求对未成年人网络保护软件、专门供未成年人使用的智能终端产品的使用效果进行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智能终端产品制造者应当在产品出厂前安装未成年人网络保护软件，或者采用显著方式告知用户安装渠道和方法。智能终端产品销售者在产品销售前应当采用显著方式告知用户安装未成年人网络保护软件的情况以及安装渠道和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未成年人的监护人应当合理使用并指导未成年人使用网络保护软件、智能终端产品等，创造良好的网络使用家庭环境。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未成年人用户数量巨大或者对未成年人群体具有显著影响的网络平台服务提供者，应当履行下列义务：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(一)在网络平台服务的设计、研发、运营等阶段，充分考虑未成年人身心健康发展特点，定期开展未成年人网络保护影响评估；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(二)提供未成年人模式或者未成年人专区等，便利未成年人获取有益身心健康的平台内产品或者服务；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(三)按照国家规定建立健全未成年人网络保护合规制度体系，成立主要由外部成员组成的独立机构，对未成年人网络保护情况进行监督；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(四)遵循公开、公平、公正的原则，制定专门的平台规则，明确平台内产品或者服务提供者的未成年人网络保护义务，并以显著方式提示未成年人用户依法享有的网络保护权利和遭受网络侵害的救济途径；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(五)对违反法律、行政法规严重侵害未成年人身心健康或者侵犯未成年人其他合法权益的平台内产品或者服务提供者，停止提供服务；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(六)每年发布专门的未成年人网络保护社会责任报告，并接受社会监督。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前款所称的未成年人用户数量巨大或者对未成年人群体具有显著影响的网络平台服务提供者的具体认定办法，由国家网信部门会同有关部门另行制定。</w:t>
      </w:r>
    </w:p>
    <w:p>
      <w:pPr>
        <w:pStyle w:val="3"/>
        <w:bidi w:val="0"/>
      </w:pPr>
      <w:r>
        <w:t>第三章　网络信息内容规范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家鼓励和支持制作、复制、发布、传播弘扬社会主义核心价值观和社会主义先进文化、革命文化、中华优秀传统文化，铸牢中华民族共同体意识，培养未成年人家国情怀和良好品德，引导未成年人养成良好生活习惯和行为习惯等的网络信息，营造有利于未成年人健康成长的清朗网络空间和良好网络生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任何组织和个人不得制作、复制、发布、传播含有宣扬淫秽、色情、暴力、邪教、迷信、赌博、引诱自残自杀、恐怖主义、分裂主义、极端主义等危害未成年人身心健康内容的网络信息。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任何组织和个人不得制作、复制、发布、传播或者持有有关未成年人的淫秽色情网络信息。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网络产品和服务中含有可能引发或者诱导未成年人模仿不安全行为、实施违反社会公德行为、产生极端情绪、养成不良嗜好等可能影响未成年人身心健康的信息的，制作、复制、发布、传播该信息的组织和个人应当在信息展示前予以显著提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国家网信部门会同国家新闻出版、电影部门和国务院教育、电信、公安、文化和旅游、广播电视等部门，在前款规定基础上确定可能影响未成年人身心健康的信息的具体种类、范围、判断标准和提示办法。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任何组织和个人不得在专门以未成年人为服务对象的网络产品和服务中制作、复制、发布、传播本条例第二十三条第一款规定的可能影响未成年人身心健康的信息。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网络产品和服务提供者不得在首页首屏、弹窗、热搜等处于产品或者服务醒目位置、易引起用户关注的重点环节呈现本条例第二十三条第一款规定的可能影响未成年人身心健康的信息。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网络产品和服务提供者不得通过自动化决策方式向未成年人进行商业营销。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任何组织和个人不得向未成年人发送、推送或者诱骗、强迫未成年人接触含有危害或者可能影响未成年人身心健康内容的网络信息。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任何组织和个人不得通过网络以文字、图片、音视频等形式，对未成年人实施侮辱、诽谤、威胁或者恶意损害形象等网络欺凌行为。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产品和服务提供者应当建立健全网络欺凌行为的预警预防、识别监测和处置机制，设置便利未成年人及其监护人保存遭受网络欺凌记录、行使通知权利的功能、渠道，提供便利未成年人设置屏蔽陌生用户、本人发布信息可见范围、禁止转载或者评论本人发布信息、禁止向本人发送信息等网络欺凌信息防护选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网络产品和服务提供者应当建立健全网络欺凌信息特征库，优化相关算法模型，采用人工智能、大数据等技术手段和人工审核相结合的方式加强对网络欺凌信息的识别监测。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任何组织和个人不得通过网络以文字、图片、音视频等形式，组织、教唆、胁迫、引诱、欺骗、帮助未成年人实施违法犯罪行为。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以未成年人为服务对象的在线教育网络产品和服务提供者，应当按照法律、行政法规和国家有关规定，根据不同年龄阶段未成年人身心发展特点和认知能力提供相应的产品和服务。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网络产品和服务提供者应当加强对用户发布信息的管理，采取有效措施防止制作、复制、发布、传播违反本条例第二十二条、第二十四条、第二十五条、第二十六条第一款、第二十七条规定的信息，发现违反上述条款规定的信息的，应当立即停止传输相关信息，采取删除、屏蔽、断开链接等处置措施，防止信息扩散，保存有关记录，向网信、公安等部门报告，并对制作、复制、发布、传播上述信息的用户采取警示、限制功能、暂停服务、关闭账号等处置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网络产品和服务提供者发现用户发布、传播本条例第二十三条第一款规定的信息未予显著提示的，应当作出提示或者通知用户予以提示；未作出提示的，不得传输该信息。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家网信、新闻出版、电影部门和国务院教育、电信、公安、文化和旅游、广播电视等部门发现违反本条例第二十二条、第二十四条、第二十五条、第二十六条第一款、第二十七条规定的信息的，或者发现本条例第二十三条第一款规定的信息未予显著提示的，应当要求网络产品和服务提供者按照本条例第二十九条的规定予以处理；对来源于境外的上述信息，应当依法通知有关机构采取技术措施和其他必要措施阻断传播。</w:t>
      </w:r>
    </w:p>
    <w:p>
      <w:pPr>
        <w:pStyle w:val="3"/>
        <w:bidi w:val="0"/>
      </w:pPr>
      <w:r>
        <w:t>第四章　个人信息网络保护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网络服务提供者为未成年人提供信息发布、即时通讯等服务的，应当依法要求未成年人或者其监护人提供未成年人真实身份信息。未成年人或者其监护人不提供未成年人真实身份信息的，网络服务提供者不得为未成年人提供相关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网络直播服务提供者应当建立网络直播发布者真实身份信息动态核验机制，不得向不符合法律规定情形的未成年人用户提供网络直播发布服务。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个人信息处理者应当严格遵守国家网信部门和有关部门关于网络产品和服务必要个人信息范围的规定，不得强制要求未成年人或者其监护人同意非必要的个人信息处理行为，不得因为未成年人或者其监护人不同意处理未成年人非必要个人信息或者撤回同意，拒绝未成年人使用其基本功能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未成年人的监护人应当教育引导未成年人增强个人信息保护意识和能力、掌握个人信息范围、了解个人信息安全风险，指导未成年人行使其在个人信息处理活动中的查阅、复制、更正、补充、删除等权利，保护未成年人个人信息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未成年人或者其监护人依法请求查阅、复制、更正、补充、删除未成年人个人信息的，个人信息处理者应当遵守以下规定：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(一)提供便捷的支持未成年人或者其监护人查阅未成年人个人信息种类、数量等的方法和途径，不得对未成年人或者其监护人的合理请求进行限制；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(二)提供便捷的支持未成年人或者其监护人复制、更正、补充、删除未成年人个人信息的功能，不得设置不合理条件；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(三)及时受理并处理未成年人或者其监护人查阅、复制、更正、补充、删除未成年人个人信息的申请，拒绝未成年人或者其监护人行使权利的请求的，应当书面告知申请人并说明理由。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对未成年人或者其监护人依法提出的转移未成年人个人信息的请求，符合国家网信部门规定条件的，个人信息处理者应当提供转移的途径。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发生或者可能发生未成年人个人信息泄露、篡改、丢失的，个人信息处理者应当立即启动个人信息安全事件应急预案，采取补救措施，及时向网信等部门报告，并按照国家有关规定将事件情况以邮件、信函、电话、信息推送等方式告知受影响的未成年人及其监护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个人信息处理者难以逐一告知的，应当采取合理、有效的方式及时发布相关警示信息，法律、行政法规另有规定的除外。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个人信息处理者对其工作人员应当以最小授权为原则，严格设定信息访问权限，控制未成年人个人信息知悉范围。工作人员访问未成年人个人信息的，应当经过相关负责人或者其授权的管理人员审批，记录访问情况，并采取技术措施，避免违法处理未成年人个人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个人信息处理者应当自行或者委托专业机构每年对其处理未成年人个人信息遵守法律、行政法规的情况进行合规审计，并将审计情况及时报告网信等部门。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网络服务提供者发现未成年人私密信息或者未成年人通过网络发布的个人信息中涉及私密信息的，应当及时提示，并采取停止传输等必要保护措施，防止信息扩散。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网络服务提供者通过未成年人私密信息发现未成年人可能遭受侵害的，应当立即采取必要措施保存有关记录，并向公安机关报告。</w:t>
      </w:r>
    </w:p>
    <w:p>
      <w:pPr>
        <w:pStyle w:val="3"/>
        <w:bidi w:val="0"/>
      </w:pPr>
      <w:r>
        <w:t>第五章　网络沉迷防治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对未成年人沉迷网络进行预防和干预，应当遵守法律、行政法规和国家有关规定。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教育、卫生健康、市场监督管理等部门依据各自职责对从事未成年人沉迷网络预防和干预活动的机构实施监督管理。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学校应当加强对教师的指导和培训，提高教师对未成年学生沉迷网络的早期识别和干预能力。对于有沉迷网络倾向的未成年学生，学校应当及时告知其监护人，共同对未成年学生进行教育和引导，帮助其恢复正常的学习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未成年人的监护人应当指导未成年人安全合理使用网络，关注未成年人上网情况以及相关生理状况、心理状况、行为习惯，防范未成年人接触危害或者可能影响其身心健康的网络信息，合理安排未成年人使用网络的时间，预防和干预未成年人沉迷网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网络产品和服务提供者应当建立健全防沉迷制度，不得向未成年人提供诱导其沉迷的产品和服务，及时修改可能造成未成年人沉迷的内容、功能和规则，并每年向社会公布防沉迷工作情况，接受社会监督。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网络游戏、网络直播、网络音视频、网络社交等网络服务提供者应当针对不同年龄阶段未成年人使用其服务的特点，坚持融合、友好、实用、有效的原则，设置未成年人模式，在使用时段、时长、功能和内容等方面按照国家有关规定和标准提供相应的服务，并以醒目便捷的方式为监护人履行监护职责提供时间管理、权限管理、消费管理等功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网络游戏、网络直播、网络音视频、网络社交等网络服务提供者应当采取措施，合理限制不同年龄阶段未成年人在使用其服务中的单次消费数额和单日累计消费数额，不得向未成年人提供与其民事行为能力不符的付费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网络游戏、网络直播、网络音视频、网络社交等网络服务提供者应当采取措施，防范和抵制流量至上等不良价值倾向，不得设置以应援集资、投票打榜、刷量控评等为主题的网络社区、群组、话题，不得诱导未成年人参与应援集资、投票打榜、刷量控评等网络活动，并预防和制止其用户诱导未成年人实施上述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网络游戏服务提供者应当通过统一的未成年人网络游戏电子身份认证系统等必要手段验证未成年人用户真实身份信息。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网络产品和服务提供者不得为未成年人提供游戏账号租售服务。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网络游戏服务提供者应当建立、完善预防未成年人沉迷网络的游戏规则，避免未成年人接触可能影响其身心健康的游戏内容或者游戏功能。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游戏服务提供者应当落实适龄提示要求，根据不同年龄阶段未成年人身心发展特点和认知能力，通过评估游戏产品的类型、内容与功能等要素，对游戏产品进行分类，明确游戏产品适合的未成年人用户年龄阶段，并在用户下载、注册、登录界面等位置予以显著提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新闻出版、教育、卫生健康、文化和旅游、广播电视、网信等部门应当定期开展预防未成年人沉迷网络的宣传教育，监督检查网络产品和服务提供者履行预防未成年人沉迷网络义务的情况，指导家庭、学校、社会组织互相配合，采取科学、合理的方式对未成年人沉迷网络进行预防和干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国家新闻出版部门牵头组织开展未成年人沉迷网络游戏防治工作，会同有关部门制定关于向未成年人提供网络游戏服务的时段、时长、消费上限等管理规定。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卫生健康、教育等部门依据各自职责指导有关医疗卫生机构、高等学校等，开展未成年人沉迷网络所致精神障碍和心理行为问题的基础研究和筛查评估、诊断、预防、干预等应用研究。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严禁任何组织和个人以虐待、胁迫等侵害未成年人身心健康的方式干预未成年人沉迷网络、侵犯未成年人合法权益。</w:t>
      </w:r>
    </w:p>
    <w:p>
      <w:pPr>
        <w:pStyle w:val="3"/>
        <w:bidi w:val="0"/>
      </w:pPr>
      <w:r>
        <w:t>第六章　法 律 责</w:t>
      </w:r>
      <w:bookmarkStart w:id="0" w:name="_GoBack"/>
      <w:bookmarkEnd w:id="0"/>
      <w:r>
        <w:t xml:space="preserve">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地方各级人民政府和县级以上有关部门违反本条例规定，不履行未成年人网络保护职责的，由其上级机关责令改正；拒不改正或者情节严重的，对负有责任的领导人员和直接责任人员依法给予处分。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学校、社区、图书馆、文化馆、青少年宫等违反本条例规定，不履行未成年人网络保护职责的，由教育、文化和旅游等部门依据各自职责责令改正；拒不改正或者情节严重的，对负有责任的领导人员和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未成年人的监护人不履行本条例规定的监护职责或者侵犯未成年人合法权益的，由未成年人居住地的居民委员会、村民委员会、妇女联合会，监护人所在单位，中小学校、幼儿园等有关密切接触未成年人的单位依法予以批评教育、劝诫制止、督促其接受家庭教育指导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第七条、第十九条第三款、第三十八条第二款规定的，由网信、新闻出版、电影、教育、电信、公安、民政、文化和旅游、市场监督管理、广播电视等部门依据各自职责责令改正；拒不改正或者情节严重的，处5万元以上50万元以下罚款，对直接负责的主管人员和其他直接责任人员处1万元以上10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第二十条第一款规定的，由网信、新闻出版、电信、公安、文化和旅游、广播电视等部门依据各自职责责令改正，给予警告，没收违法所得；拒不改正的，并处100万元以下罚款，对直接负责的主管人员和其他直接责任人员处1万元以上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二十条第一款第一项和第五项规定，情节严重的，由省级以上网信、新闻出版、电信、公安、文化和旅游、广播电视等部门依据各自职责责令改正，没收违法所得，并处5000万元以下或者上一年度营业额百分之五以下罚款，并可以责令暂停相关业务或者停业整顿、通报有关部门依法吊销相关业务许可证或者吊销营业执照；对直接负责的主管人员和其他直接责任人员处10万元以上100万元以下罚款，并可以决定禁止其在一定期限内担任相关企业的董事、监事、高级管理人员和未成年人保护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第二十四条、第二十五条规定的，由网信、新闻出版、电影、电信、公安、文化和旅游、市场监督管理、广播电视等部门依据各自职责责令限期改正，给予警告，没收违法所得，可以并处10万元以下罚款；拒不改正或者情节严重的，责令暂停相关业务、停产停业或者吊销相关业务许可证、吊销营业执照，违法所得100万元以上的，并处违法所得1倍以上10倍以下罚款，没有违法所得或者违法所得不足100万元的，并处10万元以上100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第二十六条第二款和第三款、第二十八条、第二十九条第一款、第三十一条第二款、第三十六条、第三十八条第一款、第四十二条至第四十五条、第四十六条第二款、第四十七条规定的，由网信、新闻出版、电影、教育、电信、公安、文化和旅游、广播电视等部门依据各自职责责令改正，给予警告，没收违法所得，违法所得100万元以上的，并处违法所得1倍以上10倍以下罚款，没有违法所得或者违法所得不足100万元的，并处10万元以上100万元以下罚款，对直接负责的主管人员和其他直接责任人员处1万元以上10万元以下罚款；拒不改正或者情节严重的，并可以责令暂停相关业务、停业整顿、关闭网站、吊销相关业务许可证或者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网络产品和服务提供者违反本条例规定，受到关闭网站、吊销相关业务许可证或者吊销营业执照处罚的，5年内不得重新申请相关许可，其直接负责的主管人员和其他直接责任人员5年内不得从事同类网络产品和服务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违反本条例规定，侵犯未成年人合法权益，给未成年人造成损害的，依法承担民事责任；构成违反治安管理行为的，依法给予治安管理处罚；构成犯罪的，依法追究刑事责任。</w:t>
      </w:r>
    </w:p>
    <w:p>
      <w:pPr>
        <w:pStyle w:val="3"/>
        <w:bidi w:val="0"/>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本条例所称智能终端产品，是指可以接入网络、具有操作系统、能够由用户自行安装应用软件的手机、计算机等网络终端产品。</w:t>
      </w:r>
    </w:p>
    <w:p>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本条例自2024年1月1日起施行。</w:t>
      </w:r>
    </w:p>
    <w:p>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ＤＦ中太楷書体">
    <w:panose1 w:val="02010609010101010101"/>
    <w:charset w:val="80"/>
    <w:family w:val="auto"/>
    <w:pitch w:val="default"/>
    <w:sig w:usb0="00000001" w:usb1="08070000" w:usb2="00000010" w:usb3="00000000" w:csb0="00020000" w:csb1="00000000"/>
  </w:font>
  <w:font w:name="Arial Unicode MS">
    <w:panose1 w:val="020B0604020202020204"/>
    <w:charset w:val="86"/>
    <w:family w:val="auto"/>
    <w:pitch w:val="default"/>
    <w:sig w:usb0="FFFFFFFF" w:usb1="E9FFFFFF" w:usb2="0000003F" w:usb3="00000000" w:csb0="601F00FF" w:csb1="FFFF0000"/>
  </w:font>
  <w:font w:name="Adobe 繁黑體 Std B">
    <w:panose1 w:val="020B0700000000000000"/>
    <w:charset w:val="88"/>
    <w:family w:val="auto"/>
    <w:pitch w:val="default"/>
    <w:sig w:usb0="00000001" w:usb1="1A0F1900" w:usb2="00000016" w:usb3="00000000" w:csb0="00120005" w:csb1="00000000"/>
  </w:font>
  <w:font w:name="造字工房朗倩（非商用）常规体">
    <w:panose1 w:val="00000000000000000000"/>
    <w:charset w:val="86"/>
    <w:family w:val="auto"/>
    <w:pitch w:val="default"/>
    <w:sig w:usb0="00000001" w:usb1="08010000" w:usb2="00000000" w:usb3="00000000" w:csb0="00040001" w:csb1="00000000"/>
  </w:font>
  <w:font w:name="迷你简特粗宋">
    <w:panose1 w:val="02010609010101010101"/>
    <w:charset w:val="00"/>
    <w:family w:val="auto"/>
    <w:pitch w:val="default"/>
    <w:sig w:usb0="00000000" w:usb1="00000000" w:usb2="00000000" w:usb3="00000000" w:csb0="00000000" w:csb1="00000000"/>
  </w:font>
  <w:font w:name="汉仪柏青体简">
    <w:panose1 w:val="02010604000101010101"/>
    <w:charset w:val="86"/>
    <w:family w:val="auto"/>
    <w:pitch w:val="default"/>
    <w:sig w:usb0="00000001" w:usb1="080E0800" w:usb2="00000002" w:usb3="00000000" w:csb0="00040000" w:csb1="00000000"/>
  </w:font>
  <w:font w:name="汉仪旗黑-95W">
    <w:panose1 w:val="00020600040101010101"/>
    <w:charset w:val="86"/>
    <w:family w:val="auto"/>
    <w:pitch w:val="default"/>
    <w:sig w:usb0="A00002BF" w:usb1="18EF7CFA" w:usb2="00000016" w:usb3="00000000" w:csb0="00040000" w:csb1="00000000"/>
  </w:font>
  <w:font w:name="汉仪旗黑X1-35W">
    <w:panose1 w:val="00020600040101010101"/>
    <w:charset w:val="86"/>
    <w:family w:val="auto"/>
    <w:pitch w:val="default"/>
    <w:sig w:usb0="A00002BF" w:usb1="1ACF7CFA" w:usb2="00000016"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宋黑简体">
    <w:panose1 w:val="03000509000000000000"/>
    <w:charset w:val="86"/>
    <w:family w:val="auto"/>
    <w:pitch w:val="default"/>
    <w:sig w:usb0="00000001" w:usb1="080E0000" w:usb2="00000000" w:usb3="00000000" w:csb0="00040000" w:csb1="00000000"/>
  </w:font>
  <w:font w:name="方正兰亭特黑长简体">
    <w:panose1 w:val="02010600000000000000"/>
    <w:charset w:val="86"/>
    <w:family w:val="auto"/>
    <w:pitch w:val="default"/>
    <w:sig w:usb0="00000001" w:usb1="080E0000" w:usb2="00000000" w:usb3="00000000" w:csb0="00040000" w:csb1="00000000"/>
  </w:font>
  <w:font w:name="方正中等线简体">
    <w:panose1 w:val="03000509000000000000"/>
    <w:charset w:val="86"/>
    <w:family w:val="auto"/>
    <w:pitch w:val="default"/>
    <w:sig w:usb0="00000001" w:usb1="080E0000" w:usb2="00000000" w:usb3="00000000" w:csb0="00040000" w:csb1="00000000"/>
  </w:font>
  <w:font w:name="方正中雅宋简体">
    <w:panose1 w:val="02000500000000000000"/>
    <w:charset w:val="86"/>
    <w:family w:val="auto"/>
    <w:pitch w:val="default"/>
    <w:sig w:usb0="A00002BF" w:usb1="184F6CFA" w:usb2="00000012" w:usb3="00000000" w:csb0="00040001" w:csb1="00000000"/>
  </w:font>
  <w:font w:name="方正仿宋_GBK">
    <w:panose1 w:val="03000509000000000000"/>
    <w:charset w:val="86"/>
    <w:family w:val="auto"/>
    <w:pitch w:val="default"/>
    <w:sig w:usb0="00000001" w:usb1="080E0000" w:usb2="00000000" w:usb3="00000000" w:csb0="00040000" w:csb1="00000000"/>
  </w:font>
  <w:font w:name="方正华隶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5</TotalTime>
  <ScaleCrop>false</ScaleCrop>
  <LinksUpToDate>false</LinksUpToDate>
  <CharactersWithSpaces>1586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2023-10-24T15:01:44Z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AAC7F7B6F5494A41BADB80700CA67999</vt:lpwstr>
  </property>
</Properties>
</file>